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267F87" w:rsidRPr="00267F87" w:rsidRDefault="00267F87" w:rsidP="00267F87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267F87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Порядок сноса объектов капитального строительства – новые требования закона</w:t>
      </w:r>
    </w:p>
    <w:p w:rsidR="00267F87" w:rsidRPr="00267F87" w:rsidRDefault="00B12813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44F4D">
        <w:rPr>
          <w:rFonts w:ascii="Segoe UI" w:hAnsi="Segoe UI" w:cs="Segoe UI"/>
          <w:b/>
          <w:bCs/>
        </w:rPr>
        <w:t xml:space="preserve">Брянск, </w:t>
      </w:r>
      <w:r w:rsidR="00AB031D">
        <w:rPr>
          <w:rFonts w:ascii="Segoe UI" w:hAnsi="Segoe UI" w:cs="Segoe UI"/>
          <w:b/>
          <w:bCs/>
        </w:rPr>
        <w:t>2</w:t>
      </w:r>
      <w:r w:rsidR="00233C99">
        <w:rPr>
          <w:rFonts w:ascii="Segoe UI" w:hAnsi="Segoe UI" w:cs="Segoe UI"/>
          <w:b/>
          <w:bCs/>
        </w:rPr>
        <w:t>9 октябр</w:t>
      </w:r>
      <w:r w:rsidR="007C076C">
        <w:rPr>
          <w:rFonts w:ascii="Segoe UI" w:hAnsi="Segoe UI" w:cs="Segoe UI"/>
          <w:b/>
          <w:bCs/>
        </w:rPr>
        <w:t>я</w:t>
      </w:r>
      <w:r w:rsidR="00DF2589">
        <w:rPr>
          <w:rFonts w:ascii="Segoe UI" w:hAnsi="Segoe UI" w:cs="Segoe UI"/>
          <w:b/>
          <w:bCs/>
        </w:rPr>
        <w:t xml:space="preserve"> </w:t>
      </w:r>
      <w:r w:rsidRPr="00744F4D">
        <w:rPr>
          <w:rFonts w:ascii="Segoe UI" w:hAnsi="Segoe UI" w:cs="Segoe UI"/>
          <w:b/>
          <w:bCs/>
        </w:rPr>
        <w:t xml:space="preserve">2018 года, </w:t>
      </w:r>
      <w:r w:rsidR="00744F4D">
        <w:rPr>
          <w:rFonts w:ascii="Segoe UI" w:hAnsi="Segoe UI" w:cs="Segoe UI"/>
          <w:b/>
          <w:bCs/>
        </w:rPr>
        <w:t xml:space="preserve">- </w:t>
      </w:r>
      <w:r w:rsidR="00267F87">
        <w:rPr>
          <w:rFonts w:ascii="Segoe UI" w:hAnsi="Segoe UI" w:cs="Segoe UI"/>
          <w:bCs/>
        </w:rPr>
        <w:t xml:space="preserve">Кадастровая палата по Брянской области разъясняет новые требования </w:t>
      </w:r>
      <w:r w:rsidR="00267F87" w:rsidRPr="00267F87">
        <w:rPr>
          <w:rFonts w:ascii="Segoe UI" w:eastAsia="Times New Roman" w:hAnsi="Segoe UI" w:cs="Segoe UI"/>
          <w:sz w:val="24"/>
          <w:szCs w:val="24"/>
          <w:lang w:eastAsia="ru-RU"/>
        </w:rPr>
        <w:t>Федеральн</w:t>
      </w:r>
      <w:r w:rsidR="00267F87">
        <w:rPr>
          <w:rFonts w:ascii="Segoe UI" w:eastAsia="Times New Roman" w:hAnsi="Segoe UI" w:cs="Segoe UI"/>
          <w:sz w:val="24"/>
          <w:szCs w:val="24"/>
          <w:lang w:eastAsia="ru-RU"/>
        </w:rPr>
        <w:t>ого</w:t>
      </w:r>
      <w:r w:rsidR="00267F87"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 закон</w:t>
      </w:r>
      <w:r w:rsidR="00267F87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267F87"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 N 340-ФЗ от 03.08.2018 г. "О внесении изменений в Градостроительный кодекс Российской Федерации и отдельные законодательные акты Российской Федерации" </w:t>
      </w:r>
      <w:r w:rsid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которым </w:t>
      </w:r>
      <w:r w:rsidR="00267F87"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был урегулирован порядок сноса объектов капитального строительства. 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Теперь для сноса неугодного объекта недвижимости необходимо пройти ряд процедур, а именно: 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1) Первым делом надо обратиться в организацию осуществляющую эксплуатацию сетей инженерно-технического обеспечения для получения условий об отключении здания от сетей инженерно-технического обеспечения. 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2) Необходимо получить разрешение на вывод здания из эксплуатации (если требуется).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3) Обратиться в организацию архитектурно-строительного проектирования для подготовки проекта организации по сносу объекта.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4) Подать уведомление о планируемом сносе здания в орган местного самоуправления по месту нахождения объекта.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Орган местного самоуправления, в свою очередь, в течение семи дней проводит проверку представленных документов и обеспечивает размещение этих уведомлений и документов в информационной системе обеспечения градостроительной деятельности и уведомляет о таком размещении орган строительного надзора.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5) Заключить договор подряда с индивидуальными предпринимателями или юридическими лицами на выполнение работ по осуществлению сноса объекта недвижимости. Для сноса индивидуальных жилых, садовых домов, а также при заключении договоров по сносу объектов, размер обязательств по каждому из таких договоров не превышает одного миллиона рублей, могут быть привлечены лица, не являющиеся членами </w:t>
      </w:r>
      <w:proofErr w:type="spellStart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саморегулируемых</w:t>
      </w:r>
      <w:proofErr w:type="spellEnd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 организаций. 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6) После этого необходимо в течение семи дней подать уведомление о завершении сноса в орган местного самоуправления по месту нахождения земельного участка, на котором располагался объект. 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Орган власти в течение семи рабочих дней со дня поступления такого уведомления обеспечивает его размещение в информационной системе обеспечения градостроительной деятельности и уведомляет об этом орган строительного надзора.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Проект организации работ по сносу объекта не требуется, если требуется снести гараж на земельном участке, предоставленном физическому лицу для целей, не связанных с предпринимательской деятельностью, жилой дом на садовом земельном участке, </w:t>
      </w: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садовый дом, хозяйственные постройки, объекты индивидуального жилищного строительства, строения и сооружения вспомогательного использования, а также, если объекты сносят для строительства нового или его реконструкции, так как такие сведения будут</w:t>
      </w:r>
      <w:proofErr w:type="gramEnd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учитываться в проекте на строительство, реконструкцию.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Еще одно новшество касается самовольных построек, их могут снести в принудительном порядке.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Надзирающий орган, обнаруживший самовольную постройку, направляет в орган местного самоуправления уведомление о ее выявлении и подтверждающие документы, который в течение двадцати рабочих дней принимает одно из решений: о сносе самовольной постройки; о сносе самовольной постройки или ее приведении в соответствие с требованиями; обратиться в суд с иском о сносе самовольной постройки или ее приведении в соответствие;</w:t>
      </w:r>
      <w:proofErr w:type="gramEnd"/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 xml:space="preserve"> направить в орган, от которого поступило уведомление о выявлении самовольной постройки, уведомление об отсутствии признаков самовольной постройки.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Решение о сносе самовольной постройки в течение семи дней направляется лицу, осуществившему данную постройку.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Если требования о сносе постройки гражданами не выполнены, орган местного самоуправления в течение шести месяцев может требовать изъятия земельного участка и продажи его на торгах в судебном порядке. Если не удалось продать, либо если земельный участок неделим и помимо самоволки на нем имеются законные объекты, то снос самовольно построенного объекта производится счет застройщика или правообладателя земельного участка.</w:t>
      </w:r>
    </w:p>
    <w:p w:rsidR="00267F87" w:rsidRPr="00267F87" w:rsidRDefault="00267F87" w:rsidP="00267F8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7F87">
        <w:rPr>
          <w:rFonts w:ascii="Segoe UI" w:eastAsia="Times New Roman" w:hAnsi="Segoe UI" w:cs="Segoe UI"/>
          <w:sz w:val="24"/>
          <w:szCs w:val="24"/>
          <w:lang w:eastAsia="ru-RU"/>
        </w:rPr>
        <w:t>Также подлежит сносу или приведению в соответствие объект, расположенный в границах зоны с особыми условиями использования территории, в случае, если режим указанной зоны не допускает размещения такого объекта и иное не предусмотрено федеральным законом.</w:t>
      </w:r>
    </w:p>
    <w:p w:rsidR="00233C99" w:rsidRPr="00B71566" w:rsidRDefault="00233C99" w:rsidP="00267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30E5" w:rsidRPr="00C030E5" w:rsidRDefault="00C030E5" w:rsidP="00233C99">
      <w:pPr>
        <w:pStyle w:val="a6"/>
        <w:spacing w:before="0" w:beforeAutospacing="0" w:after="0" w:afterAutospacing="0"/>
        <w:jc w:val="both"/>
      </w:pPr>
    </w:p>
    <w:p w:rsidR="000C6593" w:rsidRDefault="000C6593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937A7" w:rsidRDefault="00C937A7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C6593" w:rsidRPr="0064026A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0C6593" w:rsidRP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B12813" w:rsidRPr="000C6593" w:rsidRDefault="00B12813" w:rsidP="00744F4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12813" w:rsidRPr="000C6593" w:rsidRDefault="00B12813" w:rsidP="00B1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B128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02A43"/>
    <w:rsid w:val="00087568"/>
    <w:rsid w:val="000C6347"/>
    <w:rsid w:val="000C6593"/>
    <w:rsid w:val="00233C99"/>
    <w:rsid w:val="00267F87"/>
    <w:rsid w:val="00744F4D"/>
    <w:rsid w:val="007A5580"/>
    <w:rsid w:val="007C076C"/>
    <w:rsid w:val="008F049E"/>
    <w:rsid w:val="00AB031D"/>
    <w:rsid w:val="00AD08ED"/>
    <w:rsid w:val="00B12813"/>
    <w:rsid w:val="00B13494"/>
    <w:rsid w:val="00C030E5"/>
    <w:rsid w:val="00C937A7"/>
    <w:rsid w:val="00DA0D26"/>
    <w:rsid w:val="00DF2589"/>
    <w:rsid w:val="00E10D89"/>
    <w:rsid w:val="00EC0DDA"/>
    <w:rsid w:val="00F4658D"/>
    <w:rsid w:val="00F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0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8</cp:revision>
  <cp:lastPrinted>2018-10-18T12:55:00Z</cp:lastPrinted>
  <dcterms:created xsi:type="dcterms:W3CDTF">2018-07-23T07:09:00Z</dcterms:created>
  <dcterms:modified xsi:type="dcterms:W3CDTF">2018-10-29T06:25:00Z</dcterms:modified>
</cp:coreProperties>
</file>