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06" w:rsidRDefault="00E37E06" w:rsidP="00E37E06">
      <w:pPr>
        <w:pStyle w:val="3"/>
        <w:spacing w:before="0" w:line="240" w:lineRule="auto"/>
        <w:ind w:firstLine="709"/>
        <w:jc w:val="center"/>
        <w:rPr>
          <w:rFonts w:ascii="Segoe UI" w:hAnsi="Segoe UI" w:cs="Segoe UI"/>
          <w:b w:val="0"/>
          <w:color w:val="000000" w:themeColor="text1"/>
          <w:sz w:val="32"/>
          <w:szCs w:val="32"/>
        </w:rPr>
      </w:pPr>
      <w:r w:rsidRPr="00E37E06">
        <w:rPr>
          <w:rFonts w:ascii="Segoe UI" w:hAnsi="Segoe UI" w:cs="Segoe UI"/>
          <w:b w:val="0"/>
          <w:color w:val="000000" w:themeColor="text1"/>
          <w:sz w:val="32"/>
          <w:szCs w:val="32"/>
        </w:rPr>
        <w:t>Кадастровая палата по Брянской  области информирует о способах получения информации об изменениях сведений ЕГРН при проведении комплексных кадастровых работ</w:t>
      </w:r>
    </w:p>
    <w:p w:rsidR="00E37E06" w:rsidRPr="00E37E06" w:rsidRDefault="00E37E06" w:rsidP="00E37E06"/>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Между датой начала комплексных кадастровых работ и их окончанием проходит продолжительный период времени на фоне постоянного обновления (наполнения) сведений Единого государственного реестра недвижимости (далее — ЕГРН). В этой связи возникает необходимость получения информации об изменениях сведений ЕГРН в пределах кадастровых кварталов, на территориях которых осуществляются комплексные кадастровые работы.</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Информирование об изменениях сведений ЕГРН возможно путем получения сведений, содержащихся в ЕГРН, посредством обеспечения доступа к Федеральной государственной информационной системе ЕГРН (далее — ФГИС ЕГРН).</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 xml:space="preserve">В соответствии с пунктом 13 приказа Минэкономразвития России от 23.12.2015 № 968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 (далее — Порядок), уведомления об изменении содержащихся в ЕГРН сведений (далее — Уведомления) </w:t>
      </w:r>
      <w:proofErr w:type="gramStart"/>
      <w:r w:rsidRPr="00E37E06">
        <w:rPr>
          <w:rFonts w:ascii="Segoe UI" w:hAnsi="Segoe UI" w:cs="Segoe UI"/>
          <w:sz w:val="32"/>
          <w:szCs w:val="32"/>
        </w:rPr>
        <w:t>возможно</w:t>
      </w:r>
      <w:proofErr w:type="gramEnd"/>
      <w:r w:rsidRPr="00E37E06">
        <w:rPr>
          <w:rFonts w:ascii="Segoe UI" w:hAnsi="Segoe UI" w:cs="Segoe UI"/>
          <w:sz w:val="32"/>
          <w:szCs w:val="32"/>
        </w:rPr>
        <w:t xml:space="preserve"> получать по выбору заявителя:</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1) в отношении объектов недвижимости, выбранных заявителем в личном кабинете;</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2) в отношении всех объектов недвижимости в границах одного или нескольких кварталов, выбранных заявителем в личном кабинете;</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3) в отношении правообладателей объектов недвижимости;</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lastRenderedPageBreak/>
        <w:t xml:space="preserve">4) в отношении территории кадастрового квартала, а также зон, территорий и границ, указанных в частях 1, 2, 5 статьи 10 Федерального закона от 13.07.2015 </w:t>
      </w:r>
      <w:r w:rsidRPr="00E37E06">
        <w:rPr>
          <w:rFonts w:ascii="Segoe UI" w:hAnsi="Segoe UI" w:cs="Segoe UI"/>
          <w:sz w:val="32"/>
          <w:szCs w:val="32"/>
        </w:rPr>
        <w:br/>
        <w:t>№ 218-ФЗ «О государственной регистрации недвижимости».</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Уведомления направляются заявителям в объеме наименования изменившихся основных и дополнительных сведений об объекте недвижимости, сведений о правах на него, ограничениях прав и обременениях объекта недвижимости и даты их изменения (пункт 17 Порядка).</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Орган регистрации прав обеспечивает возможность просматривать Уведомления посредством обеспечения доступа к ФГИС ЕГРН бесплатно следующим органам:</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 органам государственной власти в отношении всех объектов недвижимости, расположенных в пределах территории Ростовской области;</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 органам местного самоуправления в отношении всех объектов недвижимости, расположенных в пределах территории муниципального образования.</w:t>
      </w:r>
    </w:p>
    <w:p w:rsidR="00E37E06" w:rsidRPr="00E37E06" w:rsidRDefault="00E37E06" w:rsidP="00E37E06">
      <w:pPr>
        <w:pStyle w:val="a3"/>
        <w:spacing w:before="0" w:beforeAutospacing="0" w:after="0" w:afterAutospacing="0"/>
        <w:ind w:firstLine="709"/>
        <w:jc w:val="both"/>
        <w:rPr>
          <w:rFonts w:ascii="Segoe UI" w:hAnsi="Segoe UI" w:cs="Segoe UI"/>
          <w:sz w:val="32"/>
          <w:szCs w:val="32"/>
        </w:rPr>
      </w:pPr>
      <w:r w:rsidRPr="00E37E06">
        <w:rPr>
          <w:rFonts w:ascii="Segoe UI" w:hAnsi="Segoe UI" w:cs="Segoe UI"/>
          <w:sz w:val="32"/>
          <w:szCs w:val="32"/>
        </w:rPr>
        <w:t>На основании изложенного органам государственной власти, органам местного самоуправления или исполнителю комплексных кадастровых работ (в случае, если это предусмотрено государственным или муниципальным контрактом) рекомендуется осуществлять мониторинг изменений сведений ЕГРН об объектах недвижимости, расположенных в пределах кадастровых кварталов, на территориях которых осуществляются комплексные кадастровые работы, путем просмотра Уведомлений.</w:t>
      </w:r>
    </w:p>
    <w:p w:rsidR="009324C8" w:rsidRDefault="00E37E06"/>
    <w:sectPr w:rsidR="009324C8" w:rsidSect="00E72B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37E06"/>
    <w:rsid w:val="007A5580"/>
    <w:rsid w:val="00DA0D26"/>
    <w:rsid w:val="00E37E06"/>
    <w:rsid w:val="00E72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B64"/>
  </w:style>
  <w:style w:type="paragraph" w:styleId="3">
    <w:name w:val="heading 3"/>
    <w:basedOn w:val="a"/>
    <w:next w:val="a"/>
    <w:link w:val="30"/>
    <w:uiPriority w:val="9"/>
    <w:semiHidden/>
    <w:unhideWhenUsed/>
    <w:qFormat/>
    <w:rsid w:val="00E37E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37E06"/>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E37E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elena.schemelinina</dc:creator>
  <cp:keywords/>
  <dc:description/>
  <cp:lastModifiedBy>elena.schemelinina</cp:lastModifiedBy>
  <cp:revision>2</cp:revision>
  <dcterms:created xsi:type="dcterms:W3CDTF">2018-05-11T08:08:00Z</dcterms:created>
  <dcterms:modified xsi:type="dcterms:W3CDTF">2018-05-11T08:10:00Z</dcterms:modified>
</cp:coreProperties>
</file>