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1C3D1" w14:textId="1E5C32DD" w:rsidR="005B4D68" w:rsidRPr="005B4D68" w:rsidRDefault="009C7B70" w:rsidP="009C7B70">
      <w:pPr>
        <w:spacing w:line="405" w:lineRule="atLeast"/>
        <w:ind w:left="30"/>
        <w:jc w:val="center"/>
        <w:textAlignment w:val="top"/>
        <w:outlineLvl w:val="0"/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aps/>
          <w:noProof/>
          <w:color w:val="050504"/>
          <w:kern w:val="36"/>
          <w:sz w:val="33"/>
          <w:szCs w:val="33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1813F6" wp14:editId="2A584286">
                <wp:simplePos x="0" y="0"/>
                <wp:positionH relativeFrom="column">
                  <wp:posOffset>4425315</wp:posOffset>
                </wp:positionH>
                <wp:positionV relativeFrom="paragraph">
                  <wp:posOffset>92710</wp:posOffset>
                </wp:positionV>
                <wp:extent cx="1647825" cy="2057400"/>
                <wp:effectExtent l="0" t="0" r="9525" b="0"/>
                <wp:wrapTight wrapText="bothSides">
                  <wp:wrapPolygon edited="0">
                    <wp:start x="0" y="0"/>
                    <wp:lineTo x="0" y="21400"/>
                    <wp:lineTo x="21475" y="21400"/>
                    <wp:lineTo x="21475" y="0"/>
                    <wp:lineTo x="0" y="0"/>
                  </wp:wrapPolygon>
                </wp:wrapTight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4158C" w14:textId="297A3B82" w:rsidR="009C7B70" w:rsidRDefault="009C7B70">
                            <w:r w:rsidRPr="009C7B70">
                              <w:drawing>
                                <wp:inline distT="0" distB="0" distL="0" distR="0" wp14:anchorId="5149BDB2" wp14:editId="72814E15">
                                  <wp:extent cx="1428750" cy="1918048"/>
                                  <wp:effectExtent l="0" t="0" r="0" b="6350"/>
                                  <wp:docPr id="14" name="Picture 7" descr="i[3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7" descr="i[3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132" cy="1941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813F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45pt;margin-top:7.3pt;width:129.75pt;height:16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" fillcolor="white [3201]" stroked="f" strokeweight=".5pt">
                <v:textbox>
                  <w:txbxContent>
                    <w:p w14:paraId="4B04158C" w14:textId="297A3B82" w:rsidR="009C7B70" w:rsidRDefault="009C7B70">
                      <w:r w:rsidRPr="009C7B70">
                        <w:drawing>
                          <wp:inline distT="0" distB="0" distL="0" distR="0" wp14:anchorId="5149BDB2" wp14:editId="72814E15">
                            <wp:extent cx="1428750" cy="1918048"/>
                            <wp:effectExtent l="0" t="0" r="0" b="6350"/>
                            <wp:docPr id="14" name="Picture 7" descr="i[3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7" descr="i[3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6132" cy="1941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4D68" w:rsidRPr="005B4D68"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  <w:t xml:space="preserve">ПОРЯДОК ДЕЙСТВИЙ ДОЛЖНОСТНЫХ ЛИЦ И ПЕРСОНАЛА ОРГАНИЗАЦИЙ ПРИ ПОЛУЧЕНИИ </w:t>
      </w:r>
      <w:bookmarkStart w:id="0" w:name="_GoBack"/>
      <w:bookmarkEnd w:id="0"/>
      <w:r w:rsidR="005B4D68" w:rsidRPr="005B4D68"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  <w:t>СООБЩЕНИЙ, СОДЕРЖАЩИХ УГРОЗЫ ТЕРРОРИСТИЧЕСКОГО ХАРАКТЕРА</w:t>
      </w:r>
    </w:p>
    <w:p w14:paraId="76F1F919" w14:textId="77777777" w:rsidR="005B4D68" w:rsidRPr="005B4D68" w:rsidRDefault="005B4D68" w:rsidP="005B4D68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u w:val="single"/>
          <w:lang w:eastAsia="ru-RU"/>
        </w:rPr>
      </w:pPr>
    </w:p>
    <w:p w14:paraId="3BEE1B8F" w14:textId="0073B370" w:rsidR="005B4D68" w:rsidRPr="005B4D68" w:rsidRDefault="005B4D68" w:rsidP="005B4D68">
      <w:pPr>
        <w:spacing w:after="0" w:line="240" w:lineRule="auto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B4D68">
        <w:rPr>
          <w:rFonts w:ascii="Arial" w:eastAsia="Times New Roman" w:hAnsi="Arial" w:cs="Arial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E83EB97" wp14:editId="4DC45813">
            <wp:extent cx="2857500" cy="1905000"/>
            <wp:effectExtent l="0" t="0" r="0" b="0"/>
            <wp:docPr id="1" name="Рисунок 1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19BC1" w14:textId="77777777" w:rsidR="005B4D68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14:paraId="738B8F91" w14:textId="4C0F9227" w:rsidR="005B4D68" w:rsidRPr="005B4D68" w:rsidRDefault="005B4D68" w:rsidP="00736591">
      <w:pPr>
        <w:pStyle w:val="a6"/>
        <w:numPr>
          <w:ilvl w:val="0"/>
          <w:numId w:val="2"/>
        </w:numPr>
        <w:spacing w:after="0" w:line="405" w:lineRule="atLeast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Постарайтесь дословно запомнить разговор и зафиксировать его на бумаге.</w:t>
      </w:r>
    </w:p>
    <w:p w14:paraId="68A68E57" w14:textId="58AF8774" w:rsidR="005B4D68" w:rsidRPr="005B4D68" w:rsidRDefault="005B4D68" w:rsidP="00736591">
      <w:pPr>
        <w:pStyle w:val="a6"/>
        <w:numPr>
          <w:ilvl w:val="0"/>
          <w:numId w:val="2"/>
        </w:numPr>
        <w:spacing w:after="0" w:line="405" w:lineRule="atLeast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По ходу разговора отметьте пол, возраст звонившего и особенности его речи:</w:t>
      </w:r>
    </w:p>
    <w:p w14:paraId="170333B0" w14:textId="77777777" w:rsidR="005B4D68" w:rsidRDefault="005B4D68" w:rsidP="00736591">
      <w:pPr>
        <w:pStyle w:val="a6"/>
        <w:spacing w:after="0" w:line="405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голос (громкий, тихий, низкий, высокий);</w:t>
      </w:r>
    </w:p>
    <w:p w14:paraId="1F1B5FF2" w14:textId="77777777" w:rsidR="00736591" w:rsidRDefault="005B4D68" w:rsidP="00736591">
      <w:pPr>
        <w:pStyle w:val="a6"/>
        <w:spacing w:after="0" w:line="405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темп речи (быстрый, медленный);</w:t>
      </w:r>
    </w:p>
    <w:p w14:paraId="66E66B74" w14:textId="783C97C2" w:rsidR="005B4D68" w:rsidRDefault="005B4D68" w:rsidP="00736591">
      <w:pPr>
        <w:pStyle w:val="a6"/>
        <w:spacing w:after="0" w:line="405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произношение (отчётливое, искажённое, с заиканием, шепелявое, акцент, диалект);</w:t>
      </w:r>
    </w:p>
    <w:p w14:paraId="3F3F3AA0" w14:textId="77777777" w:rsidR="005B4D68" w:rsidRDefault="005B4D68" w:rsidP="00736591">
      <w:pPr>
        <w:pStyle w:val="a6"/>
        <w:spacing w:after="0" w:line="405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манера речи (с издёвкой, развязная, нецензурные выражения).</w:t>
      </w:r>
    </w:p>
    <w:p w14:paraId="12C48046" w14:textId="1779AEBC" w:rsidR="005B4D68" w:rsidRDefault="005B4D68" w:rsidP="00736591">
      <w:pPr>
        <w:pStyle w:val="a6"/>
        <w:numPr>
          <w:ilvl w:val="0"/>
          <w:numId w:val="2"/>
        </w:numPr>
        <w:spacing w:after="0" w:line="405" w:lineRule="atLeast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Обязательно отметьте звуковой фон (шум машины, железнодорожного транспорта, звук аппаратуры, голоса, шум леса и т.д.).</w:t>
      </w:r>
    </w:p>
    <w:p w14:paraId="2D55DA41" w14:textId="51A2AE67" w:rsidR="005B4D68" w:rsidRDefault="005B4D68" w:rsidP="00736591">
      <w:pPr>
        <w:pStyle w:val="a6"/>
        <w:numPr>
          <w:ilvl w:val="0"/>
          <w:numId w:val="2"/>
        </w:numPr>
        <w:spacing w:after="0" w:line="405" w:lineRule="atLeast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Характер звонка (городской, междугородный).</w:t>
      </w:r>
    </w:p>
    <w:p w14:paraId="6051E9D7" w14:textId="4184C94D" w:rsidR="005B4D68" w:rsidRPr="005B4D68" w:rsidRDefault="005B4D68" w:rsidP="00736591">
      <w:pPr>
        <w:pStyle w:val="a6"/>
        <w:numPr>
          <w:ilvl w:val="0"/>
          <w:numId w:val="2"/>
        </w:numPr>
        <w:spacing w:after="0" w:line="405" w:lineRule="atLeast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Зафиксируйте время начала и конца разговора.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6. В ходе разговора постарайтесь получить ответы на следующие вопросы:</w:t>
      </w:r>
    </w:p>
    <w:p w14:paraId="5B6010A7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куда, кому, по какому телефону звонит этот человек;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какие конкретные требования он выдвигает;</w:t>
      </w:r>
    </w:p>
    <w:p w14:paraId="05400546" w14:textId="0F6BB2C2" w:rsidR="005B4D68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выдвигает требования он лично, выступает в роли посредника или представляет какую-то группу лиц;</w:t>
      </w:r>
    </w:p>
    <w:p w14:paraId="3172F941" w14:textId="77777777" w:rsidR="005B4D68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на каких условиях они согласны отказаться от задуманного;</w:t>
      </w:r>
    </w:p>
    <w:p w14:paraId="4BF5C548" w14:textId="77777777" w:rsidR="005B4D68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как и когда с ними можно связаться;</w:t>
      </w:r>
    </w:p>
    <w:p w14:paraId="0BA1633F" w14:textId="77777777" w:rsidR="005B4D68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кому вы можете или должны сообщить об этом звонке.</w:t>
      </w:r>
    </w:p>
    <w:p w14:paraId="16C44418" w14:textId="1C0F3151" w:rsidR="005B4D68" w:rsidRPr="005B4D68" w:rsidRDefault="005B4D68" w:rsidP="00736591">
      <w:pPr>
        <w:pStyle w:val="a6"/>
        <w:numPr>
          <w:ilvl w:val="0"/>
          <w:numId w:val="3"/>
        </w:numPr>
        <w:spacing w:after="0" w:line="405" w:lineRule="atLeast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lastRenderedPageBreak/>
        <w:t>Если возможно, ещё в процессе разговора сообщите о нём руководству объекта, если нет – немедленно по его окончании.</w:t>
      </w:r>
    </w:p>
    <w:p w14:paraId="209962F3" w14:textId="027507B1" w:rsidR="005B4D68" w:rsidRPr="005B4D68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14:paraId="35194022" w14:textId="77777777" w:rsidR="005B4D68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9. Не распространяйтесь о факте разговора и его содержании. Максимально ограничьте число людей, владеющих информацией.</w:t>
      </w:r>
    </w:p>
    <w:p w14:paraId="4B3F7EEF" w14:textId="77777777" w:rsidR="005B4D68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14:paraId="6F3CE9BB" w14:textId="77777777" w:rsidR="005B4D68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14:paraId="0C85C075" w14:textId="77777777" w:rsidR="00736591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12. Не вешайте телефонную трубку по окончании разговора.</w:t>
      </w:r>
    </w:p>
    <w:p w14:paraId="38A410F2" w14:textId="33BEA0C3" w:rsidR="005B4D68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13. В течение всего разговора сохраняйте терпение. Говорите спокойно и вежливо, не прерывайте абонента.</w:t>
      </w:r>
    </w:p>
    <w:p w14:paraId="332A29FD" w14:textId="77777777" w:rsidR="00736591" w:rsidRDefault="00736591" w:rsidP="005B4D68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</w:p>
    <w:p w14:paraId="674AD22C" w14:textId="77777777" w:rsidR="00736591" w:rsidRDefault="005B4D68" w:rsidP="00736591">
      <w:pPr>
        <w:spacing w:after="0" w:line="40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Правила</w:t>
      </w:r>
    </w:p>
    <w:p w14:paraId="4C079363" w14:textId="73999DE2" w:rsidR="00736591" w:rsidRPr="005B4D68" w:rsidRDefault="005B4D68" w:rsidP="00736591">
      <w:pPr>
        <w:spacing w:after="0" w:line="40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 xml:space="preserve"> обращения с анонимными материалами,</w:t>
      </w:r>
      <w:r w:rsidR="00736591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содержащими угрозы террористического характера</w:t>
      </w:r>
    </w:p>
    <w:p w14:paraId="5C0CF9D1" w14:textId="77777777" w:rsidR="00736591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2. Постарайтесь не оставлять на нём отпечатков своих пальцев.</w:t>
      </w:r>
    </w:p>
    <w:p w14:paraId="750380C2" w14:textId="77777777" w:rsidR="00736591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</w:p>
    <w:p w14:paraId="4E24295A" w14:textId="77777777" w:rsidR="00736591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5. Не расширяйте круг лиц, знакомившихся с содержанием документа.</w:t>
      </w:r>
    </w:p>
    <w:p w14:paraId="2F007769" w14:textId="77777777" w:rsidR="00736591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14:paraId="19F085AB" w14:textId="77777777" w:rsidR="00736591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lastRenderedPageBreak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14:paraId="1E086387" w14:textId="535CF3E6" w:rsidR="00736591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14:paraId="3005AC8D" w14:textId="77777777" w:rsidR="00736591" w:rsidRPr="005B4D68" w:rsidRDefault="00736591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</w:p>
    <w:p w14:paraId="626D0DBA" w14:textId="73C7641D" w:rsidR="005B4D68" w:rsidRDefault="005B4D68" w:rsidP="00736591">
      <w:pPr>
        <w:spacing w:after="0" w:line="405" w:lineRule="atLeast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Рекомендации при работе с почтой, подозрительной</w:t>
      </w: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br/>
        <w:t>на заражение биологической субстанцией</w:t>
      </w:r>
      <w:r w:rsidR="00736591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или химическим веществом</w:t>
      </w:r>
    </w:p>
    <w:p w14:paraId="4358AA6A" w14:textId="77777777" w:rsidR="00736591" w:rsidRPr="005B4D68" w:rsidRDefault="00736591" w:rsidP="00736591">
      <w:pPr>
        <w:spacing w:after="0" w:line="405" w:lineRule="atLeast"/>
        <w:ind w:firstLine="709"/>
        <w:jc w:val="center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</w:p>
    <w:p w14:paraId="6577E3A8" w14:textId="77777777" w:rsidR="00736591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Что такое «подозрительное письмо (бандероль)»?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</w:r>
      <w:r w:rsidRPr="005B4D68"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  <w:t>Некоторые характерные черты писем (бандеролей), которые должны удвоить подозрительность, включают:</w:t>
      </w:r>
    </w:p>
    <w:p w14:paraId="766291E0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вы не ожидали этих писем от кого-то, кого вы знаете;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адресованы кому-либо, кто уже не работает в вашей организации, или имеют ещё какие-то неточности в адресе;</w:t>
      </w:r>
    </w:p>
    <w:p w14:paraId="1809CB4D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не имеют обратного адреса или имеют неправильный обратный адрес;</w:t>
      </w:r>
    </w:p>
    <w:p w14:paraId="7D291791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необычны по весу, размеру, кривые по бокам или необычны по форме;</w:t>
      </w:r>
    </w:p>
    <w:p w14:paraId="0CB490D5" w14:textId="2C7A1069" w:rsidR="005B4D68" w:rsidRPr="005B4D68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помечены ограничениями типа «Лично» и «Конфиденциально»;</w:t>
      </w:r>
    </w:p>
    <w:p w14:paraId="29A76542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в конвертах прощупывается (или торчат) проводки, конверты имеют странный запах или цвет;</w:t>
      </w:r>
    </w:p>
    <w:p w14:paraId="1A7A0CE0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почтовая марка на конверте не соответствует городу и государству в обратном адресе.</w:t>
      </w:r>
    </w:p>
    <w:p w14:paraId="163B7E1E" w14:textId="77777777" w:rsidR="00736591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</w:r>
      <w:r w:rsidRPr="005B4D68"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  <w:t>Что делать, если вы получили подозрительное письмо по почте:</w:t>
      </w:r>
    </w:p>
    <w:p w14:paraId="09D774EF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не вскрывайте конверт;</w:t>
      </w:r>
    </w:p>
    <w:p w14:paraId="545F14BB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положите его в пластиковый пакет;</w:t>
      </w:r>
    </w:p>
    <w:p w14:paraId="3985F27A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положите туда же лежащие в непосредственной близости с письмом предметы.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</w:r>
      <w:r w:rsidRPr="005B4D68"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  <w:t>При получении почты, подозрительной в отношении сибирской язвы:</w:t>
      </w:r>
    </w:p>
    <w:p w14:paraId="47FCC239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не брать в руки подозрительное письмо или бандероль;</w:t>
      </w:r>
    </w:p>
    <w:p w14:paraId="7D6D7287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сообщить об этом факте руководителю учреждения, который немедленно свяжется с соответствующими службами;</w:t>
      </w:r>
    </w:p>
    <w:p w14:paraId="6F3A32F0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</w:p>
    <w:p w14:paraId="06250350" w14:textId="26C11661" w:rsidR="005B4D68" w:rsidRPr="005B4D68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lastRenderedPageBreak/>
        <w:t>убедиться, что все, кто трогал письмо (бандероль), вымыли руки водой с мылом;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как можно быстрее вымыться под душем с мылом.</w:t>
      </w:r>
    </w:p>
    <w:p w14:paraId="54FCD5EC" w14:textId="77777777" w:rsidR="005B4D68" w:rsidRPr="005B4D68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 </w:t>
      </w:r>
    </w:p>
    <w:p w14:paraId="02A7B1FA" w14:textId="644BCA76" w:rsidR="005B4D68" w:rsidRPr="005B4D68" w:rsidRDefault="005B4D68" w:rsidP="00736591">
      <w:pPr>
        <w:spacing w:after="0" w:line="405" w:lineRule="atLeast"/>
        <w:ind w:firstLine="709"/>
        <w:jc w:val="center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Действия при обнаружении взрывного устройства</w:t>
      </w:r>
      <w:r w:rsidR="00736591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в почтовом отправлении</w:t>
      </w:r>
    </w:p>
    <w:p w14:paraId="68942218" w14:textId="77777777" w:rsidR="00736591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  <w:t>Основные признаки:</w:t>
      </w:r>
    </w:p>
    <w:p w14:paraId="3D157AEA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толщина письма от 3-х мм и выше, при этом в конверте (пакете, бандероли) есть отдельные утолщения;</w:t>
      </w:r>
    </w:p>
    <w:p w14:paraId="616FCD06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смещение центра тяжести письма к одной из его сторон;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наличие в конверте перемещающихся предметов либо порошка;</w:t>
      </w:r>
    </w:p>
    <w:p w14:paraId="532AAEFE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наличие во вложении металлических либо пластмассовых предметов;</w:t>
      </w:r>
    </w:p>
    <w:p w14:paraId="1F660E6C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наличие на конверте масляных пятен, проколов, металлических кнопок, полосок и т.д.;</w:t>
      </w:r>
    </w:p>
    <w:p w14:paraId="7C580DA3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наличие необычного запаха (миндаля, жжёной пластмассы и др.);</w:t>
      </w:r>
    </w:p>
    <w:p w14:paraId="551E3402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«тиканье» в бандеролях и посылках.</w:t>
      </w:r>
    </w:p>
    <w:p w14:paraId="7856056B" w14:textId="77777777" w:rsidR="00736591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Всё это позволяет предполагать наличие в отправлении взрывной начинки.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</w:r>
      <w:r w:rsidRPr="005B4D68">
        <w:rPr>
          <w:rFonts w:ascii="Times New Roman" w:eastAsia="Times New Roman" w:hAnsi="Times New Roman" w:cs="Times New Roman"/>
          <w:b/>
          <w:bCs/>
          <w:i/>
          <w:iCs/>
          <w:color w:val="050504"/>
          <w:sz w:val="28"/>
          <w:szCs w:val="28"/>
          <w:bdr w:val="none" w:sz="0" w:space="0" w:color="auto" w:frame="1"/>
          <w:lang w:eastAsia="ru-RU"/>
        </w:rPr>
        <w:t>К числу вспомогательных признаков следует отнести:</w:t>
      </w:r>
    </w:p>
    <w:p w14:paraId="412EF737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особо тщательную заделку письма, бандероли, посылки, в том числе скотчем;</w:t>
      </w:r>
    </w:p>
    <w:p w14:paraId="0A3AE150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наличие подписей «лично в руки», «вскрыть только лично», «вручить лично», «секретно», «только вам» и т.п.;</w:t>
      </w:r>
    </w:p>
    <w:p w14:paraId="04B97D00" w14:textId="77777777" w:rsidR="00736591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отсутствие обратного адреса, фамилии, неразборчивое их написание, вымышленный адрес;</w:t>
      </w:r>
    </w:p>
    <w:p w14:paraId="7663853B" w14:textId="5AFD17FB" w:rsidR="005B4D68" w:rsidRPr="005B4D68" w:rsidRDefault="005B4D68" w:rsidP="00736591">
      <w:pPr>
        <w:spacing w:after="0" w:line="405" w:lineRule="atLeast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нестандартная упаковка.</w:t>
      </w:r>
    </w:p>
    <w:p w14:paraId="62FB183A" w14:textId="77777777" w:rsidR="005B4D68" w:rsidRPr="005B4D68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Порядок действий</w:t>
      </w:r>
    </w:p>
    <w:p w14:paraId="01523FDF" w14:textId="4B68FF3D" w:rsidR="00736591" w:rsidRPr="00736591" w:rsidRDefault="005B4D68" w:rsidP="00736591">
      <w:pPr>
        <w:pStyle w:val="a6"/>
        <w:numPr>
          <w:ilvl w:val="0"/>
          <w:numId w:val="4"/>
        </w:numPr>
        <w:spacing w:after="0" w:line="405" w:lineRule="atLeast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736591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14:paraId="6459D6B6" w14:textId="658EE85F" w:rsidR="00736591" w:rsidRPr="00736591" w:rsidRDefault="005B4D68" w:rsidP="00736591">
      <w:pPr>
        <w:pStyle w:val="a6"/>
        <w:numPr>
          <w:ilvl w:val="0"/>
          <w:numId w:val="4"/>
        </w:numPr>
        <w:spacing w:after="0" w:line="405" w:lineRule="atLeast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736591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14:paraId="55DD5A49" w14:textId="3862ADDD" w:rsidR="005B4D68" w:rsidRPr="00736591" w:rsidRDefault="005B4D68" w:rsidP="00736591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736591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3. По прибытии специалистов по обнаружению ВУ действовать в соответствии с их указаниями.</w:t>
      </w:r>
    </w:p>
    <w:p w14:paraId="27DD8DF8" w14:textId="77777777" w:rsidR="005B4D68" w:rsidRPr="005B4D68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Правила поведения при обнаружении ВУ</w:t>
      </w:r>
    </w:p>
    <w:p w14:paraId="051A569A" w14:textId="77777777" w:rsidR="00736591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lastRenderedPageBreak/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Не допускать заливание водой, засыпку грунтом, покрытие плотными тканями подозрительного предмета.</w:t>
      </w:r>
    </w:p>
    <w:p w14:paraId="2E5E2A0A" w14:textId="77777777" w:rsidR="00736591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14:paraId="597963C5" w14:textId="77777777" w:rsidR="00736591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Не оказывать теплового, звукового, светового, механического воздействия на взрывоопасный предмет.</w:t>
      </w:r>
    </w:p>
    <w:p w14:paraId="799C28B3" w14:textId="20F56F82" w:rsidR="005B4D68" w:rsidRPr="005B4D68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Не прикасаться к взрывоопасному предмету, находясь в одежде из синтетических волокон.</w:t>
      </w:r>
    </w:p>
    <w:p w14:paraId="76D25169" w14:textId="77777777" w:rsidR="005B4D68" w:rsidRPr="005B4D68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 </w:t>
      </w:r>
    </w:p>
    <w:p w14:paraId="7D8A290B" w14:textId="02C39A22" w:rsidR="005B4D68" w:rsidRDefault="005B4D68" w:rsidP="00736591">
      <w:pPr>
        <w:spacing w:after="0" w:line="405" w:lineRule="atLeast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Рекомендуемые зоны эвакуации (и оцепления)</w:t>
      </w: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br/>
        <w:t>при обнаружении взрывного устройства или предмета, подозрительного на взрывное устройство</w:t>
      </w:r>
    </w:p>
    <w:p w14:paraId="61A2A216" w14:textId="77777777" w:rsidR="00FE1E02" w:rsidRDefault="005B4D68" w:rsidP="00DB22DF">
      <w:pPr>
        <w:spacing w:after="0" w:line="405" w:lineRule="atLeast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№</w:t>
      </w:r>
    </w:p>
    <w:p w14:paraId="2BDD9D39" w14:textId="3D300ED3" w:rsidR="00736591" w:rsidRPr="00FE1E02" w:rsidRDefault="005B4D68" w:rsidP="00FE1E02">
      <w:pPr>
        <w:spacing w:after="0" w:line="405" w:lineRule="atLeast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п/п Взрывное устройство или предмет,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радиус зоны оцепления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1. Граната РГД-5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50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2. Граната Ф-1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200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3. Тротиловая шашка – 200 г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45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4. Тротиловая шашка – 400 г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55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5. Пивная банка – 0,33 л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60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6. Мина – МОН-50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85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7. Чемодан (кейс)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230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8. Дорожный чемодан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250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9. Автомобиль «Жигули»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460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10. Автомобиль «Волга»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580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11. Микроавтобус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920 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 xml:space="preserve">12. Грузовик-фургон </w:t>
      </w:r>
      <w:r w:rsidR="00FE1E02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 xml:space="preserve">                                        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1240 м</w:t>
      </w:r>
    </w:p>
    <w:p w14:paraId="45F7E480" w14:textId="77777777" w:rsidR="00FE1E02" w:rsidRDefault="00FE1E02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</w:pPr>
    </w:p>
    <w:p w14:paraId="4C9D6894" w14:textId="6C5CFA36" w:rsidR="00736591" w:rsidRDefault="005B4D68" w:rsidP="005B4D68">
      <w:pPr>
        <w:spacing w:after="0" w:line="40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</w:pPr>
      <w:r w:rsidRPr="005B4D68">
        <w:rPr>
          <w:rFonts w:ascii="Times New Roman" w:eastAsia="Times New Roman" w:hAnsi="Times New Roman" w:cs="Times New Roman"/>
          <w:b/>
          <w:bCs/>
          <w:color w:val="050504"/>
          <w:sz w:val="28"/>
          <w:szCs w:val="28"/>
          <w:bdr w:val="none" w:sz="0" w:space="0" w:color="auto" w:frame="1"/>
          <w:lang w:eastAsia="ru-RU"/>
        </w:rPr>
        <w:t>Материал предоставлен:</w:t>
      </w:r>
    </w:p>
    <w:p w14:paraId="4525F123" w14:textId="4DC1D380" w:rsidR="005B4D68" w:rsidRPr="005B4D68" w:rsidRDefault="005B4D68" w:rsidP="00736591">
      <w:pPr>
        <w:spacing w:after="0" w:line="405" w:lineRule="atLeast"/>
        <w:textAlignment w:val="top"/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</w:pP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t>Краевым государственным казённым образовательным учреждением «Учебно-методический центр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по гражданской обороне, чрезвычайным ситуациям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и пожарной безопасности Красноярского края»</w:t>
      </w:r>
      <w:r w:rsidRPr="005B4D68">
        <w:rPr>
          <w:rFonts w:ascii="Times New Roman" w:eastAsia="Times New Roman" w:hAnsi="Times New Roman" w:cs="Times New Roman"/>
          <w:color w:val="050504"/>
          <w:sz w:val="28"/>
          <w:szCs w:val="28"/>
          <w:lang w:eastAsia="ru-RU"/>
        </w:rPr>
        <w:br/>
        <w:t>Адрес: 660100, г. Красноярск, ул. Пролетарская, 155</w:t>
      </w:r>
    </w:p>
    <w:p w14:paraId="16DD7936" w14:textId="77777777" w:rsidR="00490D17" w:rsidRDefault="00490D17"/>
    <w:sectPr w:rsidR="00490D17" w:rsidSect="00FE1E0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F9F"/>
    <w:multiLevelType w:val="hybridMultilevel"/>
    <w:tmpl w:val="CB9A8B40"/>
    <w:lvl w:ilvl="0" w:tplc="FCA4B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37304"/>
    <w:multiLevelType w:val="hybridMultilevel"/>
    <w:tmpl w:val="D5B4ED12"/>
    <w:lvl w:ilvl="0" w:tplc="426C7A4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143262"/>
    <w:multiLevelType w:val="hybridMultilevel"/>
    <w:tmpl w:val="5B94A09C"/>
    <w:lvl w:ilvl="0" w:tplc="0E808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947E18"/>
    <w:multiLevelType w:val="multilevel"/>
    <w:tmpl w:val="575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A5"/>
    <w:rsid w:val="00490D17"/>
    <w:rsid w:val="005B4D68"/>
    <w:rsid w:val="00736591"/>
    <w:rsid w:val="007F45A5"/>
    <w:rsid w:val="009C7B70"/>
    <w:rsid w:val="00DA4632"/>
    <w:rsid w:val="00DB22DF"/>
    <w:rsid w:val="00F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F579"/>
  <w15:chartTrackingRefBased/>
  <w15:docId w15:val="{C418881A-0333-4944-A10C-8EC92FBE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de-readmore">
    <w:name w:val="node-readmore"/>
    <w:basedOn w:val="a"/>
    <w:rsid w:val="005B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5B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5B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4D68"/>
    <w:rPr>
      <w:b/>
      <w:bCs/>
    </w:rPr>
  </w:style>
  <w:style w:type="character" w:styleId="a4">
    <w:name w:val="Emphasis"/>
    <w:basedOn w:val="a0"/>
    <w:uiPriority w:val="20"/>
    <w:qFormat/>
    <w:rsid w:val="005B4D68"/>
    <w:rPr>
      <w:i/>
      <w:iCs/>
    </w:rPr>
  </w:style>
  <w:style w:type="paragraph" w:styleId="a5">
    <w:name w:val="Normal (Web)"/>
    <w:basedOn w:val="a"/>
    <w:uiPriority w:val="99"/>
    <w:semiHidden/>
    <w:unhideWhenUsed/>
    <w:rsid w:val="005B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-title">
    <w:name w:val="share-title"/>
    <w:basedOn w:val="a0"/>
    <w:rsid w:val="005B4D68"/>
  </w:style>
  <w:style w:type="paragraph" w:styleId="a6">
    <w:name w:val="List Paragraph"/>
    <w:basedOn w:val="a"/>
    <w:uiPriority w:val="34"/>
    <w:qFormat/>
    <w:rsid w:val="005B4D68"/>
    <w:pPr>
      <w:ind w:left="720"/>
      <w:contextualSpacing/>
    </w:pPr>
  </w:style>
  <w:style w:type="table" w:styleId="a7">
    <w:name w:val="Table Grid"/>
    <w:basedOn w:val="a1"/>
    <w:uiPriority w:val="39"/>
    <w:rsid w:val="00DB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8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1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cial.nac.gov.ru/sites/default/files/styles/full_size/public/1pocht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2020-06-08T11:29:00Z</dcterms:created>
  <dcterms:modified xsi:type="dcterms:W3CDTF">2020-06-08T13:09:00Z</dcterms:modified>
</cp:coreProperties>
</file>