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726" w:right="1022" w:hanging="10"/>
        <w:jc w:val="center"/>
      </w:pPr>
      <w:r>
        <w:rPr>
          <w:b/>
        </w:rPr>
        <w:t xml:space="preserve">Анализ итогов сплошного наблюдения </w:t>
      </w:r>
    </w:p>
    <w:p>
      <w:pPr>
        <w:spacing w:after="0"/>
        <w:ind w:left="617" w:right="547" w:hanging="10"/>
        <w:jc w:val="center"/>
        <w:rPr>
          <w:rFonts w:hint="default"/>
          <w:b/>
          <w:lang w:val="ru-RU"/>
        </w:rPr>
      </w:pPr>
      <w:r>
        <w:rPr>
          <w:b/>
        </w:rPr>
        <w:t xml:space="preserve">за деятельностью субъектов малого и среднего предпринимательства по </w:t>
      </w:r>
      <w:r>
        <w:rPr>
          <w:b/>
          <w:lang w:val="ru-RU"/>
        </w:rPr>
        <w:t>Новозыбковскому</w:t>
      </w:r>
      <w:r>
        <w:rPr>
          <w:rFonts w:hint="default"/>
          <w:b/>
          <w:lang w:val="ru-RU"/>
        </w:rPr>
        <w:t xml:space="preserve"> городскому округу</w:t>
      </w:r>
    </w:p>
    <w:p>
      <w:pPr>
        <w:spacing w:after="0"/>
        <w:ind w:left="617" w:right="547" w:hanging="10"/>
        <w:jc w:val="center"/>
      </w:pPr>
      <w:r>
        <w:rPr>
          <w:b/>
        </w:rPr>
        <w:t xml:space="preserve"> в 2020 году </w:t>
      </w:r>
    </w:p>
    <w:p>
      <w:pPr>
        <w:spacing w:after="0" w:line="259" w:lineRule="auto"/>
        <w:ind w:left="710" w:right="0" w:firstLine="0"/>
        <w:jc w:val="left"/>
      </w:pPr>
      <w:r>
        <w:t xml:space="preserve"> </w:t>
      </w:r>
    </w:p>
    <w:p>
      <w:pPr>
        <w:ind w:left="-15" w:right="1"/>
      </w:pPr>
      <w:r>
        <w:t xml:space="preserve">Основными источниками информации о субъектах малого и среднего предпринимательства (далее – субъекты МСП) являются данные Федеральной службы государственной статистики (далее - Росстат) и Федеральной налоговой службы. </w:t>
      </w:r>
    </w:p>
    <w:p>
      <w:pPr>
        <w:ind w:left="-15" w:right="1"/>
      </w:pPr>
      <w:r>
        <w:t xml:space="preserve">В соответствии со статьей 5 Федерального закона от 24 июля 2007 года  № 209-ФЗ информация о деятельности субъектов МСП формируется в ходе сплошного статистического наблюдения, проводимого Росстатом один раз в 5 лет, и выборочных статистических наблюдений за деятельностью отдельных субъектов МСП  на основе представительной (репрезентативной) выборки. </w:t>
      </w:r>
    </w:p>
    <w:p>
      <w:pPr>
        <w:spacing w:after="0" w:line="239" w:lineRule="auto"/>
        <w:ind w:right="0" w:firstLine="710"/>
      </w:pPr>
      <w:r>
        <w:rPr>
          <w:color w:val="202020"/>
        </w:rPr>
        <w:t xml:space="preserve">В 2021 году Росстатом проведено сплошное федеральное статистическое наблюдение за деятельностью субъектов </w:t>
      </w:r>
      <w:r>
        <w:t xml:space="preserve">МСП </w:t>
      </w:r>
      <w:r>
        <w:rPr>
          <w:color w:val="202020"/>
        </w:rPr>
        <w:t xml:space="preserve">в 2020 году. </w:t>
      </w:r>
    </w:p>
    <w:p>
      <w:pPr>
        <w:ind w:left="-15" w:right="1"/>
      </w:pPr>
      <w:r>
        <w:t xml:space="preserve">В территориальный орган Федеральной службы государственной статистики по Брянской области (далее - Брянскстат) предоставлены отчеты от 1254 субъектов МСП, из них экономически активными в 2020 году были </w:t>
      </w:r>
      <w:r>
        <w:rPr>
          <w:color w:val="auto"/>
        </w:rPr>
        <w:t xml:space="preserve">882 ед., </w:t>
      </w:r>
      <w:r>
        <w:t xml:space="preserve">в том числе </w:t>
      </w:r>
      <w:r>
        <w:rPr>
          <w:color w:val="auto"/>
        </w:rPr>
        <w:t xml:space="preserve">213 ед. (24,1%) </w:t>
      </w:r>
      <w:r>
        <w:t xml:space="preserve">– юридические лица, </w:t>
      </w:r>
      <w:r>
        <w:rPr>
          <w:color w:val="auto"/>
        </w:rPr>
        <w:t xml:space="preserve">669 ед. (75,9%) </w:t>
      </w:r>
      <w:r>
        <w:t xml:space="preserve">– индивидуальные предприниматели. </w:t>
      </w:r>
    </w:p>
    <w:p>
      <w:pPr>
        <w:ind w:left="-15" w:right="1"/>
      </w:pPr>
      <w:r>
        <w:t xml:space="preserve">В сравнении с 2015 годом </w:t>
      </w:r>
      <w:r>
        <w:rPr>
          <w:b/>
        </w:rPr>
        <w:t>количество действующих субъектов МСП</w:t>
      </w:r>
      <w:r>
        <w:t xml:space="preserve"> сократилось на 23,4% (или на 270 ед.), в том числе: юридические лица – на 22,8% (или на 63 ед.), индивидуальные предприниматели – на 42% (или на 483 ед.). </w:t>
      </w:r>
    </w:p>
    <w:p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>
      <w:pPr>
        <w:spacing w:after="0"/>
        <w:ind w:right="0" w:firstLine="0"/>
        <w:jc w:val="center"/>
        <w:rPr>
          <w:b/>
        </w:rPr>
      </w:pPr>
      <w:r>
        <w:rPr>
          <w:b/>
        </w:rPr>
        <w:t xml:space="preserve">Количество действующих субъектов МСП на территории Новозыбковского городского округа по итогам 2020 года в сравнении с 2015 годом </w:t>
      </w:r>
    </w:p>
    <w:p>
      <w:pPr>
        <w:spacing w:after="0"/>
        <w:ind w:left="1726" w:leftChars="0" w:right="2498" w:rightChars="0" w:hanging="1726" w:firstLineChars="0"/>
        <w:jc w:val="center"/>
        <w:rPr>
          <w:b/>
        </w:rPr>
      </w:pPr>
      <w:r>
        <w:rPr>
          <w:b/>
        </w:rPr>
        <w:drawing>
          <wp:inline distT="0" distB="0" distL="0" distR="0">
            <wp:extent cx="5908675" cy="1779270"/>
            <wp:effectExtent l="4445" t="4445" r="8255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ind w:left="-15" w:right="1"/>
      </w:pPr>
      <w:r>
        <w:t xml:space="preserve">Следует отметить, что сокращение общего количества субъектов МСП наблюдается и в целом по Брянской области на 12,9%, в том числе: юридические лица – на 18,1%, индивидуальные предприниматели – на 10,7%. </w:t>
      </w:r>
    </w:p>
    <w:p>
      <w:pPr>
        <w:ind w:left="-15" w:right="1"/>
      </w:pPr>
      <w:r>
        <w:t xml:space="preserve">В 2020 году удельный вес Новозыбковского городского округа в общем числе субъектов МСП – юридических лиц Брянской области составляет 3,1%, индивидуальных предпринимателей – 3,5%.  </w:t>
      </w:r>
    </w:p>
    <w:p>
      <w:pPr>
        <w:ind w:left="-15" w:right="1"/>
      </w:pPr>
      <w:r>
        <w:t xml:space="preserve">В то же время, в целом по ЦФО количество субъектов МСП увеличилось на 20,8 %. </w:t>
      </w:r>
    </w:p>
    <w:p>
      <w:pPr>
        <w:ind w:left="-15" w:right="1"/>
      </w:pPr>
      <w:r>
        <w:t xml:space="preserve">Распределение зарегистрированных субъектов МСП по видам экономической деятельности на территории Новозыбковского городского округа представлены в диаграмме:  </w:t>
      </w:r>
    </w:p>
    <w:p>
      <w:pPr>
        <w:spacing w:after="0" w:line="259" w:lineRule="auto"/>
        <w:ind w:left="710" w:right="0" w:firstLine="0"/>
        <w:jc w:val="left"/>
      </w:pPr>
      <w:r>
        <w:rPr>
          <w:b/>
        </w:rPr>
        <w:t xml:space="preserve"> </w:t>
      </w:r>
    </w:p>
    <w:p>
      <w:pPr>
        <w:ind w:left="710" w:right="1" w:hanging="710"/>
      </w:pPr>
      <w:r>
        <w:drawing>
          <wp:inline distT="0" distB="0" distL="0" distR="0">
            <wp:extent cx="2766695" cy="6289040"/>
            <wp:effectExtent l="0" t="0" r="1460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drawing>
          <wp:inline distT="0" distB="0" distL="0" distR="0">
            <wp:extent cx="2901950" cy="6272530"/>
            <wp:effectExtent l="0" t="0" r="1270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ind w:left="710" w:right="1" w:firstLine="0"/>
      </w:pPr>
      <w:r>
        <w:t xml:space="preserve">Наиболее комфортными в 2020 году остаются: </w:t>
      </w:r>
    </w:p>
    <w:p>
      <w:pPr>
        <w:numPr>
          <w:ilvl w:val="0"/>
          <w:numId w:val="1"/>
        </w:numPr>
        <w:ind w:left="-15" w:right="1" w:firstLine="0"/>
      </w:pPr>
      <w:r>
        <w:t xml:space="preserve">торговля оптовая и розничная (в этой сфере сосредоточено 33,1% субъектов МСП: ЮЛ – 5,4 %, ИП – 27,7%); </w:t>
      </w:r>
    </w:p>
    <w:p>
      <w:pPr>
        <w:numPr>
          <w:ilvl w:val="0"/>
          <w:numId w:val="1"/>
        </w:numPr>
        <w:ind w:left="0" w:right="1" w:firstLine="0"/>
      </w:pPr>
      <w:r>
        <w:t xml:space="preserve">транспортировка и хранение (12,8 %: ЮЛ – 3,7%, ИП – 9,1 %); </w:t>
      </w:r>
    </w:p>
    <w:p>
      <w:pPr>
        <w:numPr>
          <w:ilvl w:val="0"/>
          <w:numId w:val="1"/>
        </w:numPr>
        <w:ind w:left="0" w:right="1" w:firstLine="0"/>
      </w:pPr>
      <w:r>
        <w:t xml:space="preserve">строительство (3,42 %: ЮЛ – 0,9%, ИП – 2,54%); </w:t>
      </w:r>
    </w:p>
    <w:p>
      <w:pPr>
        <w:numPr>
          <w:ilvl w:val="0"/>
          <w:numId w:val="1"/>
        </w:numPr>
        <w:ind w:left="0" w:right="1" w:firstLine="0"/>
      </w:pPr>
      <w:r>
        <w:t xml:space="preserve">деятельность по операциям с недвижимым имуществом (3,33%: ЮЛ – 1,5%, ИП – 1,8%); </w:t>
      </w:r>
    </w:p>
    <w:p>
      <w:pPr>
        <w:numPr>
          <w:ilvl w:val="0"/>
          <w:numId w:val="1"/>
        </w:numPr>
        <w:ind w:left="0" w:right="1" w:firstLine="0"/>
      </w:pPr>
      <w:r>
        <w:t xml:space="preserve">обрабатывающие производства (5,08%: ЮЛ – 2,8%, ИП – 2,28%); </w:t>
      </w:r>
    </w:p>
    <w:p>
      <w:pPr>
        <w:numPr>
          <w:ilvl w:val="0"/>
          <w:numId w:val="1"/>
        </w:numPr>
        <w:ind w:left="0" w:right="1" w:firstLine="0"/>
      </w:pPr>
      <w:r>
        <w:t xml:space="preserve">деятельность гостиниц и предприятий общественного питания (2,36%: ЮЛ – 1,05%, ИП – 1,3%). </w:t>
      </w:r>
    </w:p>
    <w:p>
      <w:pPr>
        <w:ind w:left="-15" w:right="1"/>
      </w:pPr>
      <w:r>
        <w:t xml:space="preserve">Данные сплошного наблюдения позволили уточнить вклад малого и среднего предпринимательства в занятость населения Новозыбковского городского округа.  </w:t>
      </w:r>
    </w:p>
    <w:p>
      <w:pPr>
        <w:ind w:left="-15" w:right="1"/>
      </w:pPr>
      <w:r>
        <w:t xml:space="preserve">Доля </w:t>
      </w:r>
      <w:r>
        <w:rPr>
          <w:b/>
        </w:rPr>
        <w:t>средней численности работников</w:t>
      </w:r>
      <w:r>
        <w:t xml:space="preserve"> предприятий – юридических лиц, действующих на территории округа в общем объеме по Брянской области составила 2,8%. </w:t>
      </w:r>
    </w:p>
    <w:p>
      <w:pPr>
        <w:ind w:left="-15" w:right="1"/>
      </w:pPr>
      <w:r>
        <w:t xml:space="preserve">По полученным от обследованных организаций - юридических лиц сведениям в 2020 году среднесписочная численность составила 2119 человек, что на 597 человека (или на 22%) меньше в сравнении с 2015 годом (2716 человек).  </w:t>
      </w:r>
    </w:p>
    <w:p>
      <w:pPr>
        <w:spacing w:after="0" w:line="259" w:lineRule="auto"/>
        <w:ind w:left="770" w:right="0" w:firstLine="0"/>
        <w:jc w:val="center"/>
      </w:pPr>
    </w:p>
    <w:p>
      <w:pPr>
        <w:spacing w:after="0"/>
        <w:ind w:left="1726" w:right="0" w:hanging="1726"/>
        <w:jc w:val="center"/>
        <w:rPr>
          <w:b/>
        </w:rPr>
      </w:pPr>
      <w:r>
        <w:rPr>
          <w:b/>
        </w:rPr>
        <w:t>Средняя численность работников юридических лиц по видам экономической деятельности</w:t>
      </w:r>
      <w:r>
        <w:rPr>
          <w:rFonts w:hint="default"/>
          <w:b/>
          <w:lang w:val="ru-RU"/>
        </w:rPr>
        <w:t xml:space="preserve"> по Новозыбковскому городскому округу</w:t>
      </w:r>
      <w:r>
        <w:rPr>
          <w:b/>
        </w:rPr>
        <w:t xml:space="preserve">, в % к итогу </w:t>
      </w:r>
    </w:p>
    <w:p>
      <w:pPr>
        <w:spacing w:after="0"/>
        <w:ind w:right="0" w:firstLine="0"/>
        <w:jc w:val="center"/>
        <w:rPr>
          <w:b/>
        </w:rPr>
      </w:pPr>
      <w:r>
        <w:rPr>
          <w:b/>
        </w:rPr>
        <w:drawing>
          <wp:inline distT="0" distB="0" distL="0" distR="0">
            <wp:extent cx="5962650" cy="1860550"/>
            <wp:effectExtent l="0" t="0" r="0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spacing w:after="36" w:line="276" w:lineRule="auto"/>
        <w:ind w:right="30" w:firstLine="710"/>
      </w:pPr>
      <w:r>
        <w:rPr>
          <w:b/>
        </w:rPr>
        <w:t xml:space="preserve"> </w:t>
      </w:r>
      <w:r>
        <w:t xml:space="preserve"> Показатель по средней численности работников у индивидуальных предпринимателей по итогам 2020 года органами статистики не сформирован, в 2015 году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округу </w:t>
      </w:r>
      <w:r>
        <w:t xml:space="preserve">показатель составил 1916,6 человек. </w:t>
      </w:r>
    </w:p>
    <w:p>
      <w:pPr>
        <w:ind w:left="-15" w:right="1"/>
      </w:pPr>
      <w:r>
        <w:t xml:space="preserve">Анализируя данный показатель по Брянской области и ЦФО, наблюдается общее сокращение численности работников у индивидуальных предпринимателей (на 49,8% - по Брянской области, на 39,3% - по ЦФО).  </w:t>
      </w:r>
    </w:p>
    <w:p>
      <w:pPr>
        <w:ind w:left="-15" w:right="1"/>
      </w:pPr>
      <w:r>
        <w:t>Итоги сплошного наблюдения 2020 года показывают, что сложившаяся среднемесячная оплата труда работников юридических лиц</w:t>
      </w:r>
      <w:r>
        <w:rPr>
          <w:rFonts w:hint="default"/>
          <w:lang w:val="ru-RU"/>
        </w:rPr>
        <w:t xml:space="preserve"> в муниципальном образовании</w:t>
      </w:r>
      <w:r>
        <w:t xml:space="preserve"> увеличилась на 78% в сравнении с 2015 годом и составила 22,9 тыс. рублей.  </w:t>
      </w:r>
    </w:p>
    <w:p>
      <w:pPr>
        <w:ind w:left="-15" w:right="1"/>
      </w:pPr>
      <w:r>
        <w:t xml:space="preserve">Значение среднемесячной оплаты труда работников юридических лиц по Новозыбковскому городскому округу остается примерно на уровне, что и в целом по региону, однако ниже значения оплаты труда по ЦФО на 17,4 тыс. рублей.  </w:t>
      </w:r>
    </w:p>
    <w:p>
      <w:pPr>
        <w:ind w:left="-15" w:right="1"/>
      </w:pPr>
      <w:r>
        <w:t xml:space="preserve">Наиболее высокий уровень оплаты труда на малых и средних предприятиях </w:t>
      </w:r>
      <w:r>
        <w:rPr>
          <w:rFonts w:hint="default"/>
          <w:lang w:val="ru-RU"/>
        </w:rPr>
        <w:t xml:space="preserve"> </w:t>
      </w:r>
      <w:r>
        <w:t xml:space="preserve">-  юридических лиц </w:t>
      </w:r>
      <w:r>
        <w:rPr>
          <w:lang w:val="ru-RU"/>
        </w:rPr>
        <w:t>Новозыбковского</w:t>
      </w:r>
      <w:r>
        <w:rPr>
          <w:rFonts w:hint="default"/>
          <w:lang w:val="ru-RU"/>
        </w:rPr>
        <w:t xml:space="preserve"> городского округа </w:t>
      </w:r>
      <w:r>
        <w:t>отмечен в таких видах деятельности: деятельность профессиональная, научная и техническая – 34,4 тыс. рублей, обрабатывающее производство – 25,2 тыс. рублей, торговля – 23,5 тыс. рублей, строительство 18,9 тыс. рублей в среднем за месяц.</w:t>
      </w:r>
    </w:p>
    <w:p>
      <w:pPr>
        <w:ind w:left="-15" w:right="1"/>
      </w:pPr>
      <w:r>
        <w:rPr>
          <w:b/>
        </w:rPr>
        <w:t>Выручка от реализации товаров</w:t>
      </w:r>
      <w:r>
        <w:t xml:space="preserve"> (работ и услуг) субъектов МСП</w:t>
      </w:r>
      <w:r>
        <w:rPr>
          <w:rFonts w:hint="default"/>
          <w:lang w:val="ru-RU"/>
        </w:rPr>
        <w:t xml:space="preserve"> муниципального образования</w:t>
      </w:r>
      <w:r>
        <w:t xml:space="preserve"> в 2020 году составила 9 332,1 млн. рублей, из них на долю юридических лиц приходится 6 914,6 млн. рублей, а на ИП – 2 417,5 млн. рублей. В сравнении с 2015 годом этот показатель увеличился на 1 558,4 млн. рублей (или на 20%) (ЮЛ – 5 604,7 млн. рублей, ИП – 2 169 млн. рублей). </w:t>
      </w:r>
    </w:p>
    <w:p>
      <w:pPr>
        <w:ind w:left="-15" w:right="1"/>
      </w:pPr>
      <w:r>
        <w:t>Наибольшие объемы выручки юридических лиц получили субъекты МСП, основным видом деятельности которых является обрабатывающие производства -  2 690,7 млн. рублей (или 38,9% от общего объема), торговля оптовая и розничная – 1 826,6 млн. рублей (26,4%), транспортировка и хранение – 1 324 млн. рублей (19,1%)</w:t>
      </w:r>
    </w:p>
    <w:p>
      <w:pPr>
        <w:spacing w:after="0" w:line="259" w:lineRule="auto"/>
        <w:ind w:left="770" w:right="0" w:firstLine="0"/>
        <w:jc w:val="center"/>
      </w:pPr>
      <w:r>
        <w:rPr>
          <w:b/>
        </w:rPr>
        <w:t xml:space="preserve"> </w:t>
      </w:r>
    </w:p>
    <w:p>
      <w:pPr>
        <w:spacing w:after="0" w:line="240" w:lineRule="auto"/>
        <w:ind w:right="0" w:firstLine="0"/>
        <w:jc w:val="center"/>
      </w:pPr>
      <w:r>
        <w:rPr>
          <w:b/>
        </w:rPr>
        <w:t xml:space="preserve">Структура выручки от реализации товаров (работ, услуг), полученной субъектами МСП – юридическими лицами </w:t>
      </w:r>
      <w:r>
        <w:rPr>
          <w:b/>
          <w:lang w:val="ru-RU"/>
        </w:rPr>
        <w:t>Новозыбковского</w:t>
      </w:r>
      <w:r>
        <w:rPr>
          <w:rFonts w:hint="default"/>
          <w:b/>
          <w:lang w:val="ru-RU"/>
        </w:rPr>
        <w:t xml:space="preserve"> городского округа </w:t>
      </w:r>
      <w:r>
        <w:rPr>
          <w:b/>
        </w:rPr>
        <w:t>в 2020 году, по видам экономической деятельности</w:t>
      </w:r>
    </w:p>
    <w:p>
      <w:pPr>
        <w:ind w:left="-15" w:right="1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-23495</wp:posOffset>
            </wp:positionH>
            <wp:positionV relativeFrom="paragraph">
              <wp:posOffset>141605</wp:posOffset>
            </wp:positionV>
            <wp:extent cx="7871460" cy="4300855"/>
            <wp:effectExtent l="4445" t="4445" r="13970" b="12700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t>В расчете на одно юридическое лицо</w:t>
      </w:r>
      <w:r>
        <w:rPr>
          <w:b/>
        </w:rPr>
        <w:t xml:space="preserve">, </w:t>
      </w:r>
      <w:r>
        <w:t xml:space="preserve">осуществляющее деятельность в </w:t>
      </w:r>
      <w:r>
        <w:rPr>
          <w:lang w:val="ru-RU"/>
        </w:rPr>
        <w:t>муниципальном</w:t>
      </w:r>
      <w:r>
        <w:rPr>
          <w:rFonts w:hint="default"/>
          <w:lang w:val="ru-RU"/>
        </w:rPr>
        <w:t xml:space="preserve"> образовании в </w:t>
      </w:r>
      <w:r>
        <w:t>2020 году, объем выручки составил 32,5 млн. рублей</w:t>
      </w:r>
      <w:r>
        <w:rPr>
          <w:b/>
        </w:rPr>
        <w:t>.</w:t>
      </w:r>
      <w:r>
        <w:t xml:space="preserve">   </w:t>
      </w:r>
    </w:p>
    <w:p>
      <w:pPr>
        <w:ind w:left="-15" w:right="1"/>
      </w:pPr>
      <w:r>
        <w:t>Наибольшие объемы выручки индивидуальных предпринимателей получили субъекты МСП</w:t>
      </w:r>
      <w:r>
        <w:rPr>
          <w:rFonts w:hint="default"/>
          <w:lang w:val="ru-RU"/>
        </w:rPr>
        <w:t xml:space="preserve"> городского округа</w:t>
      </w:r>
      <w:r>
        <w:t xml:space="preserve">, основным видом деятельности которых является торговля оптовая и розничная – 1 285,2 млн. рублей (или 53,2% от общего объема), обрабатывающие производства – 265,6 млн. рублей (или 12,2%), транспортировка и хранение – 218,5 млн. рублей (9%), деятельность в области информатизации и связи – 176,75 млн. рублей (7%),  деятельность по операциям с недвижимостью – 108,2 млн. рублей (4,5%),  строительство – 54,9 млн. рублей (2,3%). </w:t>
      </w:r>
    </w:p>
    <w:p>
      <w:pPr>
        <w:spacing w:after="0" w:line="259" w:lineRule="auto"/>
        <w:ind w:left="770" w:right="0" w:firstLine="0"/>
        <w:jc w:val="center"/>
      </w:pPr>
      <w:r>
        <w:rPr>
          <w:b/>
        </w:rPr>
        <w:t xml:space="preserve"> </w:t>
      </w:r>
    </w:p>
    <w:p>
      <w:pPr>
        <w:spacing w:after="0" w:line="240" w:lineRule="auto"/>
        <w:ind w:right="0" w:firstLine="0"/>
        <w:jc w:val="center"/>
      </w:pPr>
      <w:r>
        <w:rPr>
          <w:b/>
        </w:rPr>
        <w:t xml:space="preserve">Структура выручки от реализации товаров (работ, услуг), полученной субъектами МСП – индивидуальными предпринимателями </w:t>
      </w:r>
      <w:r>
        <w:rPr>
          <w:b/>
          <w:lang w:val="ru-RU"/>
        </w:rPr>
        <w:t>Новозыбковского</w:t>
      </w:r>
      <w:r>
        <w:rPr>
          <w:rFonts w:hint="default"/>
          <w:b/>
          <w:lang w:val="ru-RU"/>
        </w:rPr>
        <w:t xml:space="preserve"> городского округа </w:t>
      </w:r>
      <w:r>
        <w:rPr>
          <w:b/>
        </w:rPr>
        <w:t>в 2020 году, по видам экономической деятельности</w:t>
      </w:r>
    </w:p>
    <w:p>
      <w:pPr>
        <w:spacing w:after="0" w:line="259" w:lineRule="auto"/>
        <w:ind w:left="192" w:right="0" w:hanging="1468"/>
        <w:jc w:val="left"/>
      </w:pPr>
      <w:r>
        <w:drawing>
          <wp:inline distT="0" distB="0" distL="0" distR="0">
            <wp:extent cx="7839710" cy="4547235"/>
            <wp:effectExtent l="4445" t="4445" r="13970" b="203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ind w:left="-15" w:right="1"/>
      </w:pPr>
      <w:r>
        <w:t>В расчете на одного индивидуального предпринимателя</w:t>
      </w:r>
      <w:r>
        <w:rPr>
          <w:rFonts w:hint="default"/>
          <w:lang w:val="ru-RU"/>
        </w:rPr>
        <w:t xml:space="preserve"> муниципального образования</w:t>
      </w:r>
      <w:bookmarkStart w:id="0" w:name="_GoBack"/>
      <w:bookmarkEnd w:id="0"/>
      <w:r>
        <w:t xml:space="preserve"> объем выручки  составил 3,6 млн. рублей</w:t>
      </w:r>
      <w:r>
        <w:rPr>
          <w:b/>
        </w:rPr>
        <w:t xml:space="preserve">. </w:t>
      </w:r>
    </w:p>
    <w:p>
      <w:pPr>
        <w:ind w:left="-15" w:right="1"/>
        <w:rPr>
          <w:color w:val="auto"/>
        </w:rPr>
      </w:pPr>
      <w:r>
        <w:rPr>
          <w:color w:val="auto"/>
        </w:rPr>
        <w:t xml:space="preserve">По Новозыбковскому городскому округу за 5 лет </w:t>
      </w:r>
      <w:r>
        <w:rPr>
          <w:b/>
          <w:color w:val="auto"/>
        </w:rPr>
        <w:t>инвестиции</w:t>
      </w:r>
      <w:r>
        <w:rPr>
          <w:color w:val="auto"/>
        </w:rPr>
        <w:t xml:space="preserve"> субъектов малого и среднего предпринимательства в основной капитал к итогу по Брянской области незначительно увеличились с 1,03% до 1,62% и составили в 2020 году 250,5 млн. рублей. </w:t>
      </w:r>
    </w:p>
    <w:p>
      <w:pPr>
        <w:ind w:left="-15" w:right="1"/>
      </w:pPr>
      <w:r>
        <w:t xml:space="preserve">Субъекты МСП - юридические лица инвестировали в основной капитал в 2020 году  232,8 млн. рублей (в 2015 году – 127 млн. рублей). </w:t>
      </w:r>
    </w:p>
    <w:p>
      <w:pPr>
        <w:ind w:left="-15" w:right="1"/>
      </w:pPr>
      <w:r>
        <w:t xml:space="preserve">Одновременно с этим, инвестиции индивидуальных предпринимателей в основной капитал увеличились в 3 раза и составили 17,7 млн. рублей (в 2015 году – 5,8 млн. рублей).    </w:t>
      </w:r>
    </w:p>
    <w:p>
      <w:pPr>
        <w:spacing w:after="55" w:line="238" w:lineRule="auto"/>
        <w:ind w:right="0" w:firstLine="0"/>
        <w:jc w:val="center"/>
        <w:rPr>
          <w:b/>
          <w:szCs w:val="28"/>
        </w:rPr>
      </w:pPr>
    </w:p>
    <w:p>
      <w:pPr>
        <w:spacing w:after="55" w:line="238" w:lineRule="auto"/>
        <w:ind w:right="0" w:firstLine="0"/>
        <w:jc w:val="center"/>
        <w:rPr>
          <w:b/>
          <w:szCs w:val="28"/>
        </w:rPr>
      </w:pPr>
      <w:r>
        <w:rPr>
          <w:b/>
          <w:szCs w:val="28"/>
        </w:rPr>
        <w:t>Доля основных показателей деятельности юридических лиц в общем объеме субъектов МСП, в % к итогу</w:t>
      </w:r>
    </w:p>
    <w:p>
      <w:pPr>
        <w:spacing w:after="55" w:line="238" w:lineRule="auto"/>
        <w:ind w:left="-1" w:leftChars="-300" w:right="-22" w:rightChars="0" w:hanging="839" w:hangingChars="262"/>
        <w:rPr>
          <w:b/>
          <w:sz w:val="32"/>
        </w:rPr>
      </w:pPr>
      <w:r>
        <w:rPr>
          <w:b/>
          <w:sz w:val="32"/>
        </w:rPr>
        <w:drawing>
          <wp:inline distT="0" distB="0" distL="0" distR="0">
            <wp:extent cx="6632575" cy="3720465"/>
            <wp:effectExtent l="4445" t="4445" r="1460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spacing w:after="55" w:line="238" w:lineRule="auto"/>
        <w:ind w:left="1483" w:right="1032" w:firstLine="638"/>
        <w:rPr>
          <w:b/>
          <w:sz w:val="32"/>
        </w:rPr>
      </w:pPr>
    </w:p>
    <w:p>
      <w:pPr>
        <w:spacing w:after="0" w:line="238" w:lineRule="auto"/>
        <w:ind w:right="0" w:firstLine="0"/>
        <w:jc w:val="center"/>
        <w:rPr>
          <w:b/>
          <w:szCs w:val="28"/>
        </w:rPr>
      </w:pPr>
      <w:r>
        <w:rPr>
          <w:b/>
          <w:szCs w:val="28"/>
        </w:rPr>
        <w:t>Доля основных показателей деятельности индивидуальных предпринимателей в общем объеме субъектов МСП, в % к итогу</w:t>
      </w:r>
    </w:p>
    <w:p>
      <w:pPr>
        <w:spacing w:after="0" w:line="238" w:lineRule="auto"/>
        <w:ind w:right="0" w:firstLine="0"/>
        <w:jc w:val="center"/>
        <w:rPr>
          <w:szCs w:val="28"/>
        </w:rPr>
      </w:pPr>
    </w:p>
    <w:p>
      <w:pPr>
        <w:spacing w:after="55" w:line="238" w:lineRule="auto"/>
        <w:ind w:left="-1" w:leftChars="-300" w:right="1032" w:hanging="839" w:hangingChars="262"/>
        <w:rPr>
          <w:b/>
          <w:sz w:val="32"/>
        </w:rPr>
      </w:pPr>
      <w:r>
        <w:rPr>
          <w:b/>
          <w:sz w:val="32"/>
        </w:rPr>
        <w:drawing>
          <wp:inline distT="0" distB="0" distL="0" distR="0">
            <wp:extent cx="6734175" cy="3093085"/>
            <wp:effectExtent l="4445" t="4445" r="8255" b="139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ind w:left="-15" w:right="1" w:firstLine="723" w:firstLineChars="0"/>
      </w:pPr>
      <w:r>
        <w:t xml:space="preserve">Итоги сплошного наблюдения за деятельностью субъектов малого и среднего предпринимательства позволяют получить наиболее полную информацию с выборкой по муниципальным  образованиям об отраслевой структуре, занятости, объемах выручки от реализации товаров (работ, услуг), инвестиционной активности в ходе предпринимательской деятельности. </w:t>
      </w:r>
    </w:p>
    <w:p>
      <w:pPr>
        <w:ind w:left="-15" w:right="1"/>
      </w:pPr>
      <w:r>
        <w:t xml:space="preserve">Проведенный анализ дает основание полагать, что снижение основных показателей деятельности субъектов МСП напрямую связано с общим сокращением количества субъектов МСП. </w:t>
      </w:r>
    </w:p>
    <w:p>
      <w:pPr>
        <w:ind w:left="-15" w:right="1"/>
      </w:pPr>
      <w:r>
        <w:t xml:space="preserve">Из основных причин снижения доли МСП следует отметить сокращение общей численности населения. Так, по данным Брянскстата, в период 2015 года по 2020 год включительно численность населения на территории Новозыбковского городского округа сократилась с 51,8 тыс. человек до 50,4 тыс. человек. </w:t>
      </w:r>
    </w:p>
    <w:p>
      <w:pPr>
        <w:ind w:left="-15" w:right="1"/>
      </w:pPr>
      <w:r>
        <w:t xml:space="preserve">Объявленный карантин в связи с угрозой распространения коронавируса COVID-19 также оказал негативные последствия, в результате которых  многие компании были вынуждены временно закрыться, наблюдалось сокращение численности работников, снижение заработной платы и прочее. </w:t>
      </w:r>
    </w:p>
    <w:p>
      <w:pPr>
        <w:ind w:left="-15" w:right="1"/>
      </w:pPr>
      <w:r>
        <w:t xml:space="preserve">Вместе с тем, 1 июля 2020 года вступил в силу Закон Брянской области от 29.05.2020 №34-3 «О введении в действие специального налогового режима «Налог на профессиональный доход» на территории Брянской области» вследствие чего, часть индивидуальных предпринимателей, прекративших свою деятельность, переходят в статус самозанятых. </w:t>
      </w:r>
    </w:p>
    <w:p>
      <w:pPr>
        <w:ind w:left="-15" w:right="1"/>
      </w:pPr>
      <w:r>
        <w:t xml:space="preserve">По итогам 2020 года количество самозанятых (плательщиков НПД) составило 291 человек. </w:t>
      </w:r>
    </w:p>
    <w:sectPr>
      <w:headerReference r:id="rId7" w:type="first"/>
      <w:headerReference r:id="rId5" w:type="default"/>
      <w:headerReference r:id="rId6" w:type="even"/>
      <w:pgSz w:w="11906" w:h="16838"/>
      <w:pgMar w:top="1203" w:right="707" w:bottom="795" w:left="1701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7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>
    <w:pPr>
      <w:spacing w:after="0" w:line="259" w:lineRule="auto"/>
      <w:ind w:righ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>
    <w:pPr>
      <w:spacing w:after="0" w:line="259" w:lineRule="auto"/>
      <w:ind w:righ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67C60"/>
    <w:multiLevelType w:val="multilevel"/>
    <w:tmpl w:val="60167C60"/>
    <w:lvl w:ilvl="0" w:tentative="0">
      <w:start w:val="1"/>
      <w:numFmt w:val="bullet"/>
      <w:lvlText w:val="-"/>
      <w:lvlJc w:val="left"/>
      <w:pPr>
        <w:ind w:left="7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D88"/>
    <w:rsid w:val="000F4DE4"/>
    <w:rsid w:val="0010338D"/>
    <w:rsid w:val="00104930"/>
    <w:rsid w:val="00172A27"/>
    <w:rsid w:val="00183C6E"/>
    <w:rsid w:val="001B5925"/>
    <w:rsid w:val="002B2E48"/>
    <w:rsid w:val="004C5570"/>
    <w:rsid w:val="00615C43"/>
    <w:rsid w:val="0069535F"/>
    <w:rsid w:val="006B48A5"/>
    <w:rsid w:val="007C7742"/>
    <w:rsid w:val="007C7CF9"/>
    <w:rsid w:val="007E1CB9"/>
    <w:rsid w:val="0080666C"/>
    <w:rsid w:val="008F3D99"/>
    <w:rsid w:val="00977B19"/>
    <w:rsid w:val="00A11866"/>
    <w:rsid w:val="00A156D0"/>
    <w:rsid w:val="00A25DAC"/>
    <w:rsid w:val="00A54BFE"/>
    <w:rsid w:val="00AF1896"/>
    <w:rsid w:val="00B16AF1"/>
    <w:rsid w:val="00B54972"/>
    <w:rsid w:val="00B625BE"/>
    <w:rsid w:val="00BB15EF"/>
    <w:rsid w:val="00C3196F"/>
    <w:rsid w:val="00C92280"/>
    <w:rsid w:val="00DA61BE"/>
    <w:rsid w:val="00DD0F13"/>
    <w:rsid w:val="00DD7527"/>
    <w:rsid w:val="00E27ED4"/>
    <w:rsid w:val="00E471A1"/>
    <w:rsid w:val="00E647DC"/>
    <w:rsid w:val="00E85A85"/>
    <w:rsid w:val="00F0240F"/>
    <w:rsid w:val="00F40D37"/>
    <w:rsid w:val="00F8465D"/>
    <w:rsid w:val="14495A59"/>
    <w:rsid w:val="2463181C"/>
    <w:rsid w:val="29112E37"/>
    <w:rsid w:val="35F71952"/>
    <w:rsid w:val="684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3" w:line="249" w:lineRule="auto"/>
      <w:ind w:right="8" w:firstLine="715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hart" Target="charts/chart8.xml"/><Relationship Id="rId15" Type="http://schemas.openxmlformats.org/officeDocument/2006/relationships/chart" Target="charts/chart7.xml"/><Relationship Id="rId14" Type="http://schemas.openxmlformats.org/officeDocument/2006/relationships/chart" Target="charts/chart6.xml"/><Relationship Id="rId13" Type="http://schemas.openxmlformats.org/officeDocument/2006/relationships/chart" Target="charts/chart5.xml"/><Relationship Id="rId12" Type="http://schemas.openxmlformats.org/officeDocument/2006/relationships/chart" Target="charts/chart4.xml"/><Relationship Id="rId11" Type="http://schemas.openxmlformats.org/officeDocument/2006/relationships/chart" Target="charts/chart3.xml"/><Relationship Id="rId10" Type="http://schemas.openxmlformats.org/officeDocument/2006/relationships/chart" Target="charts/chart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50762095192756"/>
          <c:y val="0.0706682388973083"/>
          <c:w val="0.90660231308624"/>
          <c:h val="0.6481627695110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ЮЛ</c:v>
                </c:pt>
                <c:pt idx="2">
                  <c:v>ИП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1152</c:v>
                </c:pt>
                <c:pt idx="1">
                  <c:v>276</c:v>
                </c:pt>
                <c:pt idx="2">
                  <c:v>876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ЮЛ</c:v>
                </c:pt>
                <c:pt idx="2">
                  <c:v>ИП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882</c:v>
                </c:pt>
                <c:pt idx="1">
                  <c:v>213</c:v>
                </c:pt>
                <c:pt idx="2">
                  <c:v>669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3101104"/>
        <c:axId val="438021408"/>
      </c:barChart>
      <c:catAx>
        <c:axId val="503101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021408"/>
        <c:crosses val="autoZero"/>
        <c:auto val="1"/>
        <c:lblAlgn val="ctr"/>
        <c:lblOffset val="100"/>
        <c:noMultiLvlLbl val="0"/>
      </c:catAx>
      <c:valAx>
        <c:axId val="43802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10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2015 год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3"/>
              <c:layout>
                <c:manualLayout>
                  <c:x val="-0.137967265157528"/>
                  <c:y val="-0.083973229618510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380092493028686"/>
                  <c:y val="-0.029687042855507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407607271491798"/>
                  <c:y val="-0.012928682279012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516957451523755"/>
                  <c:y val="-0.008485396817320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Сельское, лесное хозяйсво, охота , рыболовство</c:v>
                </c:pt>
                <c:pt idx="1">
                  <c:v>Обрабатывающее производство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гостиниц и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Прочие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0.0271</c:v>
                </c:pt>
                <c:pt idx="1">
                  <c:v>0.0754</c:v>
                </c:pt>
                <c:pt idx="2">
                  <c:v>0.0625</c:v>
                </c:pt>
                <c:pt idx="3" c:formatCode="0%">
                  <c:v>0.52</c:v>
                </c:pt>
                <c:pt idx="4">
                  <c:v>0.1032</c:v>
                </c:pt>
                <c:pt idx="5">
                  <c:v>0.0238</c:v>
                </c:pt>
                <c:pt idx="6">
                  <c:v>0.093</c:v>
                </c:pt>
                <c:pt idx="7">
                  <c:v>0.095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88199096756238"/>
          <c:y val="0.564566293106738"/>
          <c:w val="0.823601445045442"/>
          <c:h val="0.4192786180402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2020</a:t>
            </a:r>
            <a:r>
              <a:rPr lang="ru-RU"/>
              <a:t> год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093198194317614"/>
                  <c:y val="-0.015530415956559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01123037957236"/>
                  <c:y val="-0.041595337128718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525146883991799"/>
                  <c:y val="0.01060337694678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30183841899412"/>
                  <c:y val="-0.032842569106883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Сельское, лесное хозяйство, охота, рыболовство</c:v>
                </c:pt>
                <c:pt idx="1">
                  <c:v>Обрабатывающее производство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операциями с недвижимыи имуществом</c:v>
                </c:pt>
                <c:pt idx="7">
                  <c:v>Прочее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0.02</c:v>
                </c:pt>
                <c:pt idx="1" c:formatCode="0.00%">
                  <c:v>0.0508</c:v>
                </c:pt>
                <c:pt idx="2" c:formatCode="0.00%">
                  <c:v>0.0342</c:v>
                </c:pt>
                <c:pt idx="3" c:formatCode="0.00%">
                  <c:v>0.3313</c:v>
                </c:pt>
                <c:pt idx="4" c:formatCode="0.00%">
                  <c:v>0.128</c:v>
                </c:pt>
                <c:pt idx="5" c:formatCode="0.00%">
                  <c:v>0.0236</c:v>
                </c:pt>
                <c:pt idx="6" c:formatCode="0.00%">
                  <c:v>0.0333</c:v>
                </c:pt>
                <c:pt idx="7" c:formatCode="0.00%">
                  <c:v>0.378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Сельское, лесное хозяйство, охота, рыболовство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в области информатизации и связи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0.077</c:v>
                </c:pt>
                <c:pt idx="1">
                  <c:v>0.366</c:v>
                </c:pt>
                <c:pt idx="2">
                  <c:v>0.0186</c:v>
                </c:pt>
                <c:pt idx="3">
                  <c:v>0.073</c:v>
                </c:pt>
                <c:pt idx="4" c:formatCode="0%">
                  <c:v>0.2</c:v>
                </c:pt>
                <c:pt idx="5">
                  <c:v>0.0315</c:v>
                </c:pt>
                <c:pt idx="6">
                  <c:v>0.016</c:v>
                </c:pt>
                <c:pt idx="7">
                  <c:v>0.139</c:v>
                </c:pt>
                <c:pt idx="8">
                  <c:v>0.006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9339312"/>
        <c:axId val="362445200"/>
      </c:barChart>
      <c:catAx>
        <c:axId val="419339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2445200"/>
        <c:crosses val="autoZero"/>
        <c:auto val="1"/>
        <c:lblAlgn val="ctr"/>
        <c:lblOffset val="100"/>
        <c:noMultiLvlLbl val="0"/>
      </c:catAx>
      <c:valAx>
        <c:axId val="362445200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933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0.049004183969277"/>
                  <c:y val="-0.0021538084649748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14388010343506"/>
                  <c:y val="-0.007181078502743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21603475314853"/>
                  <c:y val="-0.050304557040011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13305331886476"/>
                  <c:y val="0.03391179044864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713200534809507"/>
                  <c:y val="0.026852043713629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440203717637497"/>
                  <c:y val="-0.0055502779005671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919006483230384"/>
                  <c:y val="0.004589900343845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172694268755029"/>
                  <c:y val="0.0011509721081156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Сельское, лесное хозяйство, охота, рыболовство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в области информатизации и связи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0.025</c:v>
                </c:pt>
                <c:pt idx="1">
                  <c:v>0.389</c:v>
                </c:pt>
                <c:pt idx="2">
                  <c:v>0.025</c:v>
                </c:pt>
                <c:pt idx="3">
                  <c:v>0.264</c:v>
                </c:pt>
                <c:pt idx="4">
                  <c:v>0.1915</c:v>
                </c:pt>
                <c:pt idx="5">
                  <c:v>0.012</c:v>
                </c:pt>
                <c:pt idx="6">
                  <c:v>0.012</c:v>
                </c:pt>
                <c:pt idx="7">
                  <c:v>0.049</c:v>
                </c:pt>
                <c:pt idx="8">
                  <c:v>0.002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0.0472796442259841"/>
                  <c:y val="0.00363824850690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25767037238044"/>
                  <c:y val="0.018627340156504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709180843939944"/>
                  <c:y val="-0.064214729760035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744912758252537"/>
                  <c:y val="0.005056904269502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0141011976144546"/>
                  <c:y val="0.0025464806494578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470001301460604"/>
                  <c:y val="-0.005461059731944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437952653838731"/>
                  <c:y val="0.00454545478129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121111253738745"/>
                  <c:y val="-0.008732116420320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Сельское, лесное хозяйство, охота, рыболовство</c:v>
                </c:pt>
                <c:pt idx="1">
                  <c:v>Обрабытывающие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в области информатизации и связи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0.0075</c:v>
                </c:pt>
                <c:pt idx="1">
                  <c:v>0.122</c:v>
                </c:pt>
                <c:pt idx="2">
                  <c:v>0.0227</c:v>
                </c:pt>
                <c:pt idx="3">
                  <c:v>0.5316</c:v>
                </c:pt>
                <c:pt idx="4" c:formatCode="0%">
                  <c:v>0.09</c:v>
                </c:pt>
                <c:pt idx="5">
                  <c:v>0.037</c:v>
                </c:pt>
                <c:pt idx="6">
                  <c:v>0.073</c:v>
                </c:pt>
                <c:pt idx="7">
                  <c:v>0.045</c:v>
                </c:pt>
                <c:pt idx="8">
                  <c:v>0.031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Брянская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ЮЛ</c:v>
                </c:pt>
                <c:pt idx="1">
                  <c:v>Выручка от реализации товаров (работ, услуг)</c:v>
                </c:pt>
                <c:pt idx="2">
                  <c:v>Инвестиции в основной капитал</c:v>
                </c:pt>
                <c:pt idx="3">
                  <c:v>Основные фонды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0.278</c:v>
                </c:pt>
                <c:pt idx="1">
                  <c:v>0.679</c:v>
                </c:pt>
                <c:pt idx="2">
                  <c:v>0.864</c:v>
                </c:pt>
                <c:pt idx="3">
                  <c:v>0.749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Новозыбковский ГО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ЮЛ</c:v>
                </c:pt>
                <c:pt idx="1">
                  <c:v>Выручка от реализации товаров (работ, услуг)</c:v>
                </c:pt>
                <c:pt idx="2">
                  <c:v>Инвестиции в основной капитал</c:v>
                </c:pt>
                <c:pt idx="3">
                  <c:v>Основные фонды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0.0085</c:v>
                </c:pt>
                <c:pt idx="1">
                  <c:v>0.017</c:v>
                </c:pt>
                <c:pt idx="2">
                  <c:v>0.015</c:v>
                </c:pt>
                <c:pt idx="3">
                  <c:v>0.017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3081216"/>
        <c:axId val="420349024"/>
      </c:barChart>
      <c:catAx>
        <c:axId val="40308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0349024"/>
        <c:crosses val="autoZero"/>
        <c:auto val="1"/>
        <c:lblAlgn val="ctr"/>
        <c:lblOffset val="100"/>
        <c:noMultiLvlLbl val="0"/>
      </c:catAx>
      <c:valAx>
        <c:axId val="420349024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0308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Брянская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ИП</c:v>
                </c:pt>
                <c:pt idx="1">
                  <c:v>Выручка от реализации товаров (работ, услуг)</c:v>
                </c:pt>
                <c:pt idx="2">
                  <c:v>Инвестиции в основной капитал</c:v>
                </c:pt>
                <c:pt idx="3">
                  <c:v>Основные фонды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0.722</c:v>
                </c:pt>
                <c:pt idx="1">
                  <c:v>0.321</c:v>
                </c:pt>
                <c:pt idx="2">
                  <c:v>0.136</c:v>
                </c:pt>
                <c:pt idx="3">
                  <c:v>0.251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Новозыбковский ГО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ИП</c:v>
                </c:pt>
                <c:pt idx="1">
                  <c:v>Выручка от реализации товаров (работ, услуг)</c:v>
                </c:pt>
                <c:pt idx="2">
                  <c:v>Инвестиции в основной капитал</c:v>
                </c:pt>
                <c:pt idx="3">
                  <c:v>Основные фонды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0.027</c:v>
                </c:pt>
                <c:pt idx="1">
                  <c:v>0.006</c:v>
                </c:pt>
                <c:pt idx="2">
                  <c:v>0.001</c:v>
                </c:pt>
                <c:pt idx="3">
                  <c:v>0.008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7467040"/>
        <c:axId val="367467456"/>
      </c:barChart>
      <c:catAx>
        <c:axId val="36746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7467456"/>
        <c:crosses val="autoZero"/>
        <c:auto val="1"/>
        <c:lblAlgn val="ctr"/>
        <c:lblOffset val="100"/>
        <c:noMultiLvlLbl val="0"/>
      </c:catAx>
      <c:valAx>
        <c:axId val="367467456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746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1237</Words>
  <Characters>7056</Characters>
  <Lines>58</Lines>
  <Paragraphs>16</Paragraphs>
  <TotalTime>38</TotalTime>
  <ScaleCrop>false</ScaleCrop>
  <LinksUpToDate>false</LinksUpToDate>
  <CharactersWithSpaces>8277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2024-05-30T12:30:00Z</dcterms:created>
  <dc:creator>ComInf1</dc:creator>
  <cp:lastModifiedBy>Администратор</cp:lastModifiedBy>
  <dcterms:modified xsi:type="dcterms:W3CDTF">2024-06-04T07:38:26Z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C81986DF181646F7A858D9FE1BE5CED6_12</vt:lpwstr>
  </property>
</Properties>
</file>