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C5" w:rsidRDefault="004465C5" w:rsidP="004465C5">
      <w:pPr>
        <w:jc w:val="center"/>
      </w:pPr>
      <w:r>
        <w:rPr>
          <w:noProof/>
          <w:lang w:eastAsia="ru-RU"/>
        </w:rPr>
        <w:drawing>
          <wp:inline distT="0" distB="0" distL="0" distR="0" wp14:anchorId="1740CC49" wp14:editId="2BE9BA9A">
            <wp:extent cx="657225" cy="800100"/>
            <wp:effectExtent l="0" t="0" r="9525" b="0"/>
            <wp:docPr id="2" name="Рисунок 2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5C5" w:rsidRPr="00A0251D" w:rsidRDefault="004465C5" w:rsidP="004465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51D">
        <w:rPr>
          <w:rFonts w:ascii="Times New Roman" w:hAnsi="Times New Roman" w:cs="Times New Roman"/>
          <w:b/>
          <w:sz w:val="32"/>
          <w:szCs w:val="32"/>
        </w:rPr>
        <w:t xml:space="preserve">НОВОЗЫБКОВСКАЯ  ГОРОДСКАЯ  АДМИНИСТРАЦИЯ </w:t>
      </w:r>
    </w:p>
    <w:p w:rsidR="004465C5" w:rsidRPr="00A0251D" w:rsidRDefault="004465C5" w:rsidP="004465C5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4465C5" w:rsidRPr="00A0251D" w:rsidRDefault="004465C5" w:rsidP="004465C5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A0251D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4465C5" w:rsidRDefault="004465C5" w:rsidP="004465C5">
      <w:pPr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_Копия_1"/>
      <w:bookmarkEnd w:id="0"/>
    </w:p>
    <w:p w:rsidR="0080553F" w:rsidRDefault="00446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17.12.2024  №1068</w:t>
      </w: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53F" w:rsidRDefault="00186B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Программы                                                                  профилактики рисков причинения                                                                                вреда (ущерба) охраняемым  законом                                                                         ценностям     по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53F" w:rsidRDefault="00186B3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лесному контролю </w:t>
      </w:r>
      <w:r>
        <w:rPr>
          <w:rFonts w:ascii="Times New Roman" w:hAnsi="Times New Roman" w:cs="Times New Roman"/>
          <w:sz w:val="28"/>
          <w:szCs w:val="24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Новозыбковского</w:t>
      </w:r>
      <w:r>
        <w:rPr>
          <w:rFonts w:ascii="Times New Roman" w:hAnsi="Times New Roman" w:cs="Times New Roman"/>
          <w:sz w:val="28"/>
          <w:szCs w:val="24"/>
        </w:rPr>
        <w:tab/>
        <w:t xml:space="preserve"> городского округа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     Брянской области на </w:t>
      </w:r>
      <w:r>
        <w:rPr>
          <w:rFonts w:ascii="Times New Roman" w:hAnsi="Times New Roman" w:cs="Times New Roman"/>
          <w:bCs/>
          <w:sz w:val="28"/>
          <w:szCs w:val="28"/>
        </w:rPr>
        <w:t>2025 год</w:t>
      </w:r>
    </w:p>
    <w:p w:rsidR="0080553F" w:rsidRDefault="0080553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0553F" w:rsidRDefault="0080553F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186B34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«Новозыбковский городской округ Брянской области» </w:t>
      </w:r>
      <w:proofErr w:type="gramEnd"/>
    </w:p>
    <w:p w:rsidR="0080553F" w:rsidRDefault="0080553F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80553F" w:rsidRDefault="00805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по муниципальному лесному контролю в границах Новозыбковского городского округа Брянской области на 2025 год согласно Приложению №1 к данному постановлению.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  Установить, что Перечень контролируемых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лиц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отношении которых проводятся профилактические визиты в 2025 году определяется согласно Приложения № 2 к настоящему постановлению. Перечень подлежит дополнению по мере поступления заявлений от контролируемых лиц о проведении в отношении них профилактических визитов, а также обновлению и размещению на официальном сайте Новозыбковской городской администрации в информационно-телекоммуникационной сети «Интернет».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3. Опубликовать настоящее постановление на официальном сайте Новозыбковской городской администрации.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  Настоящее постановление вступает в силу с 01.01.2025 года.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Новозыбковской городской администрации  Рожкова А.Л.</w:t>
      </w:r>
    </w:p>
    <w:p w:rsidR="0080553F" w:rsidRDefault="00805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805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186B34">
      <w:pPr>
        <w:widowControl w:val="0"/>
        <w:spacing w:after="0" w:line="240" w:lineRule="auto"/>
        <w:ind w:right="-26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Ио главы Новозыбковской                                                                  </w:t>
      </w:r>
    </w:p>
    <w:p w:rsidR="0080553F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В.Г.Шевелев</w:t>
      </w:r>
      <w:proofErr w:type="spellEnd"/>
    </w:p>
    <w:p w:rsidR="0080553F" w:rsidRDefault="0080553F">
      <w:pPr>
        <w:widowControl w:val="0"/>
        <w:spacing w:after="0" w:line="240" w:lineRule="auto"/>
        <w:ind w:right="-26"/>
        <w:rPr>
          <w:rFonts w:ascii="Times New Roman" w:eastAsia="Times New Roman" w:hAnsi="Times New Roman" w:cs="Times New Roman"/>
          <w:szCs w:val="28"/>
        </w:rPr>
      </w:pPr>
    </w:p>
    <w:p w:rsidR="0080553F" w:rsidRDefault="0080553F">
      <w:pPr>
        <w:widowControl w:val="0"/>
        <w:spacing w:after="0" w:line="240" w:lineRule="auto"/>
        <w:ind w:right="-26"/>
        <w:rPr>
          <w:rFonts w:ascii="Times New Roman" w:eastAsia="Times New Roman" w:hAnsi="Times New Roman" w:cs="Times New Roman"/>
          <w:sz w:val="28"/>
          <w:szCs w:val="28"/>
        </w:rPr>
      </w:pPr>
    </w:p>
    <w:p w:rsidR="0080553F" w:rsidRDefault="00805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465C5" w:rsidRDefault="00446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465C5" w:rsidRDefault="00446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465C5" w:rsidRDefault="00446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4465C5" w:rsidRDefault="00446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86B34" w:rsidRDefault="00186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805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18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80553F" w:rsidRDefault="0018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80553F" w:rsidRDefault="00186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80553F" w:rsidRDefault="00186B3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</w:p>
    <w:p w:rsidR="0080553F" w:rsidRDefault="0080553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80553F" w:rsidRDefault="0080553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3F" w:rsidRDefault="00186B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лесного контроля в границах Новозыбковского городского округа </w:t>
      </w:r>
    </w:p>
    <w:p w:rsidR="0080553F" w:rsidRDefault="00186B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Брянской области на 2025 год</w:t>
      </w:r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53F" w:rsidRDefault="00186B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186B34">
      <w:pPr>
        <w:pStyle w:val="af0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текущего состояния осуществления вида контроля.</w:t>
      </w:r>
    </w:p>
    <w:p w:rsidR="0080553F" w:rsidRDefault="0080553F">
      <w:pPr>
        <w:pStyle w:val="af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лесного контроля в границах  Новозыбковского городского округа.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лесной контроль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юридическими лицами, индивидуальными предпринимателями и гражданами обязательных требований, установленных Лесным кодексом Российской Федерации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лесной контроль в границах  Новозыбковского городского округа Брянской области осуществляется отделом строительства, ЖКХ и тарифно-ценовой политики.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задачей контрольного органа при осуществлении муниципального лесного контроля в границах  Новозыбковского городского округа Брянской области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Новозыбковской городской администрацией при осуществлении муниципального лесного контроля в границах Новозыбковского городского округа Брянской области плановые и внеплановые проверки не проводились.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Административные протоколы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субъектов контроля, нарушивших лесное законодательство не составлялись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Описание текущего развития профилактической деятельности контрольного органа.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2024 году в контрольный орган не поступали сведения о нарушении обязательных требований, установленных Лесным Кодексом.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лицам в 2023 (за 9 месяцев текущего года) году предостережения о недопустимости нарушения обязательных требований не направлялись.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К проблемам, на решение которых направлена Программа профилактики, относится: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 отдельных граждан культуры, стремления к сохранению чистоты  и порядка, предусмотренных лесным законодательством, а также необходимость  систематического проведения мероприятий, направленных на сохранение лесов, находящихся в муниципальной собственности.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жилищного законодательства.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Новозыбковская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городская администрация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сознательному соблюдению обязательных требований.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-укрепление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проведения.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При осуществлении администрацией муниципального лесного контроля могут проводиться следующие виды профилактических мероприятий: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объявление предостережений;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консультирование;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профилактический визит.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информационно-¬телекоммуникационной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иных формах на бумажном носителе в виде листов информирования и информационных листовок.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1) тексты нормативных правовых актов, регулирующих осуществление муниципального контроля;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5) перечень индикаторов риска нарушения обязательных требований;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6) программу профилактики рисков причинения вреда;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7) исчерпывающий перечень сведений, которые могут запрашиваться контрольным органом у контролируемого лица;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8) сведения о способах получения консультаций по вопросам соблюдения обязательных требований;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9) доклады, содержащие результаты обобщения правоприменительной практики контрольного органа;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10) доклады о муниципальном контроле; </w:t>
      </w:r>
    </w:p>
    <w:p w:rsidR="0080553F" w:rsidRDefault="00186B34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11) иные сведения, предусмотренные нормативными правовыми актами Российской Федерации, нормативными правовыми актами субъектов Российской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Федерации, муниципальными правовыми актами и (или) программами профилактики рисков причинения вреда.</w:t>
      </w:r>
      <w:proofErr w:type="gramEnd"/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также вправе информировать население Новозыбковского городского округа Брянской области на собраниях и конференциях граждан об обязательных требованиях, предъявляемых к объектам контроля. А также иным способом.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законом ценностям. Предостережения объявляются (подписываются) главой (заместителем главы) Новозыбковской городской администрации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 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3.1.3. Консультирование контролируемых лиц осуществляется должностным лицом, уполномоченным осуществлять муниципальный лесной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Личный прием граждан проводится главой (заместителем главы) Новозыбковской городской администрации  Брянской области и (или) должностным лицом, уполномоченным осуществлять муниципальный лесной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и осуществление муниципального лесного контроля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осуществления контрольных мероприятий, установленных настоящим Постановлением;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обжалования действий (бездействия) должностных лиц, уполномоченных осуществлять муниципальный лесной контроль;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контроль, в следующих случаях: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 время консультирования предоставить в устной форме ответ на поставленные вопросы невозможно;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ответ на поставленные вопросы требует дополнительного запроса сведений.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осуществлении консультирования должностное лицо, уполномоченное осуществлять муниципальный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Лицами, уполномоченными осуществлять муниципальный лесной контроль, ведется журнал учета консультирований.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Новозыбковской городской администрации Брянской области или должностным лицом, уполномоченным осуществлять муниципальный контроль.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3.1.4.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 настоящего Федерального закона.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пять рабочих дней до даты его проведения.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три рабочих дня до даты его проведения.</w:t>
      </w: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и сроки проведения обязательного профилактического визита устанавливаются положением о виде контроля. 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553F" w:rsidRDefault="00186B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Перечень профилактических мероприятий, сроки (периодичность) их проведения представлены в таблице: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8"/>
        <w:gridCol w:w="1593"/>
        <w:gridCol w:w="4536"/>
        <w:gridCol w:w="2270"/>
        <w:gridCol w:w="850"/>
      </w:tblGrid>
      <w:tr w:rsidR="008055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 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80553F">
        <w:trPr>
          <w:trHeight w:val="20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Размещение и поддержание контрольным органом в актуальном состоянии на своем официальном интернет сайте Администрации информации в соответствии с п. 3.1.1 настоящей программы профилактики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месяц</w:t>
            </w:r>
          </w:p>
        </w:tc>
      </w:tr>
      <w:tr w:rsidR="0080553F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Размещение контрольным органом информации соответствии с п. 3.1.1 настоящей программы профилактики в средствах массовой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 1 раза в год, далее по мере необходимости</w:t>
            </w:r>
          </w:p>
        </w:tc>
      </w:tr>
      <w:tr w:rsidR="0080553F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Осуществление рассылки тематических (сезонных) листов информирования и (или) информационных листовок на бумажных носителях, содержащих </w:t>
            </w:r>
            <w:hyperlink r:id="rId8">
              <w:r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80553F">
        <w:trPr>
          <w:trHeight w:val="32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Осуществление консультирования в устной форме контролируемых лиц и (или) их представителей по телефону, посредством видео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онференц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–связи, на личном приеме, либо в ходе проведения профилактических мероприятий, контрольных мероприятий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обращения контролируемых лиц, а также в ходе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проведения других профилактических мероприятий</w:t>
            </w:r>
          </w:p>
        </w:tc>
      </w:tr>
      <w:tr w:rsidR="0080553F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Осуществление консультирования в письменной форме при поступлении письменного обращения от контролируемых 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(или) их представителей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поступления обращений от контролируемых лиц</w:t>
            </w:r>
          </w:p>
        </w:tc>
      </w:tr>
      <w:tr w:rsidR="0080553F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 Размещения контрольным органом на официальном интернет - сайте Администрации письменного разъяснения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5 и более вопросам однотипных обращений контролируемых лиц и (или) их представителей, с указанием перечня вопросов, по которым осуществляется консультирование, подписанного уполномоченным должностным лицом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10 дней после поступления 5 и более однотипных обращений контролируемых лиц</w:t>
            </w:r>
          </w:p>
        </w:tc>
      </w:tr>
      <w:tr w:rsidR="0080553F">
        <w:trPr>
          <w:trHeight w:val="23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2"/>
              <w:widowControl w:val="0"/>
              <w:shd w:val="clear" w:color="auto" w:fill="FFFFFF"/>
              <w:spacing w:after="0"/>
            </w:pPr>
            <w:r>
              <w:t xml:space="preserve">1) Осуществление профилактического визита в отношении контролируемого лица </w:t>
            </w:r>
            <w:proofErr w:type="gramStart"/>
            <w:r>
              <w:t>в следствие</w:t>
            </w:r>
            <w:proofErr w:type="gramEnd"/>
            <w:r>
              <w:t xml:space="preserve">  анализа объявленных данному контролируемому лицу предостережений о недопустимости нарушения обязательных требований в предшествующем 2023 году, определенных приложением № 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0553F">
        <w:trPr>
          <w:trHeight w:val="49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2"/>
              <w:widowControl w:val="0"/>
              <w:shd w:val="clear" w:color="auto" w:fill="FFFFFF"/>
              <w:spacing w:after="280"/>
            </w:pPr>
            <w:r>
              <w:t>2) Осуществление профилактического визита в отношении контролируемых лиц, определенных приложением № 2</w:t>
            </w:r>
          </w:p>
          <w:p w:rsidR="0080553F" w:rsidRDefault="0080553F">
            <w:pPr>
              <w:pStyle w:val="af2"/>
              <w:widowControl w:val="0"/>
              <w:shd w:val="clear" w:color="auto" w:fill="FFFFFF"/>
              <w:spacing w:before="280" w:after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  <w:p w:rsidR="0080553F" w:rsidRDefault="008055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553F">
        <w:trPr>
          <w:trHeight w:val="183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4) Осуществление профилактического визита по заявлению контролируемого лица о проведении в отношении него профилактического визита.</w:t>
            </w:r>
            <w:r>
              <w:rPr>
                <w:color w:val="FF0000"/>
              </w:rPr>
              <w:t xml:space="preserve"> </w:t>
            </w:r>
            <w:r>
              <w:t>Дата проведения контрольным органом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</w:t>
            </w:r>
          </w:p>
          <w:p w:rsidR="0080553F" w:rsidRDefault="00186B34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Информация о проведении профилактического визита дополняется в приложение № 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по мере поступления заявлений</w:t>
            </w:r>
          </w:p>
        </w:tc>
      </w:tr>
      <w:tr w:rsidR="0080553F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0553F" w:rsidRDefault="0080553F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0553F" w:rsidRDefault="00186B3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и предлагает принять меры по обеспечению соблюдения обязательных требований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80553F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0553F" w:rsidRDefault="00186B3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мере поступления информации</w:t>
            </w:r>
          </w:p>
        </w:tc>
      </w:tr>
    </w:tbl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0553F" w:rsidRDefault="00186B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186B34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1. Отчетные показатели профилактических мероприятий</w:t>
      </w:r>
    </w:p>
    <w:p w:rsidR="0080553F" w:rsidRDefault="00186B34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за 2024 год (за 9 месяцев текущего года)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"/>
        <w:gridCol w:w="2763"/>
        <w:gridCol w:w="6507"/>
      </w:tblGrid>
      <w:tr w:rsidR="0080553F">
        <w:tc>
          <w:tcPr>
            <w:tcW w:w="482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3" w:type="dxa"/>
          </w:tcPr>
          <w:p w:rsidR="0080553F" w:rsidRDefault="00186B3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80553F" w:rsidRDefault="00186B3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6507" w:type="dxa"/>
          </w:tcPr>
          <w:p w:rsidR="0080553F" w:rsidRDefault="00186B3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</w:p>
          <w:p w:rsidR="0080553F" w:rsidRDefault="00186B3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профилактического</w:t>
            </w:r>
          </w:p>
          <w:p w:rsidR="0080553F" w:rsidRDefault="00186B3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80553F">
        <w:trPr>
          <w:trHeight w:val="1486"/>
        </w:trPr>
        <w:tc>
          <w:tcPr>
            <w:tcW w:w="482" w:type="dxa"/>
            <w:vMerge w:val="restart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vMerge w:val="restart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507" w:type="dxa"/>
          </w:tcPr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Новозыбковской городской 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</w:t>
            </w:r>
          </w:p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телекоммуникационной сети Интернет (далее – сеть «Интернет») размещены сведения,</w:t>
            </w:r>
          </w:p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предусмотренные Программой профилактики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2024 год</w:t>
            </w:r>
          </w:p>
        </w:tc>
      </w:tr>
      <w:tr w:rsidR="0080553F">
        <w:trPr>
          <w:trHeight w:val="1242"/>
        </w:trPr>
        <w:tc>
          <w:tcPr>
            <w:tcW w:w="482" w:type="dxa"/>
            <w:vMerge/>
          </w:tcPr>
          <w:p w:rsidR="0080553F" w:rsidRDefault="00805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:rsidR="0080553F" w:rsidRDefault="008055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сети «Интернет» размещена информация, предусмотренная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80553F" w:rsidRDefault="0080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3F">
        <w:trPr>
          <w:trHeight w:val="1262"/>
        </w:trPr>
        <w:tc>
          <w:tcPr>
            <w:tcW w:w="482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07" w:type="dxa"/>
          </w:tcPr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Осуществлено 0 консультирований, в том числе:</w:t>
            </w:r>
          </w:p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телефону 0 консультирований;</w:t>
            </w:r>
          </w:p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использованием видео-конференц-связи 0</w:t>
            </w:r>
          </w:p>
          <w:p w:rsidR="0080553F" w:rsidRDefault="0080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53F" w:rsidRDefault="0080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3F">
        <w:trPr>
          <w:trHeight w:val="1262"/>
        </w:trPr>
        <w:tc>
          <w:tcPr>
            <w:tcW w:w="482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3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07" w:type="dxa"/>
          </w:tcPr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 0 профилактических визитов</w:t>
            </w:r>
          </w:p>
        </w:tc>
      </w:tr>
      <w:tr w:rsidR="0080553F">
        <w:trPr>
          <w:trHeight w:val="109"/>
        </w:trPr>
        <w:tc>
          <w:tcPr>
            <w:tcW w:w="482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3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6507" w:type="dxa"/>
          </w:tcPr>
          <w:p w:rsidR="0080553F" w:rsidRDefault="00186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Объявлено 0  предостережений</w:t>
            </w:r>
          </w:p>
          <w:p w:rsidR="0080553F" w:rsidRDefault="0080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53F" w:rsidRDefault="0080553F">
      <w:pPr>
        <w:tabs>
          <w:tab w:val="left" w:pos="2977"/>
        </w:tabs>
        <w:rPr>
          <w:rFonts w:ascii="Times New Roman" w:eastAsia="Calibri" w:hAnsi="Times New Roman" w:cs="Times New Roman"/>
          <w:i/>
          <w:sz w:val="24"/>
          <w:szCs w:val="24"/>
        </w:rPr>
      </w:pPr>
    </w:p>
    <w:p w:rsidR="0080553F" w:rsidRDefault="0080553F">
      <w:pPr>
        <w:tabs>
          <w:tab w:val="left" w:pos="2977"/>
        </w:tabs>
        <w:rPr>
          <w:rFonts w:ascii="Times New Roman" w:eastAsia="Calibri" w:hAnsi="Times New Roman" w:cs="Times New Roman"/>
          <w:i/>
          <w:sz w:val="24"/>
          <w:szCs w:val="24"/>
        </w:rPr>
      </w:pPr>
    </w:p>
    <w:p w:rsidR="0080553F" w:rsidRDefault="00186B34">
      <w:pPr>
        <w:tabs>
          <w:tab w:val="left" w:pos="2977"/>
        </w:tabs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Таблица 2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>
        <w:rPr>
          <w:rFonts w:ascii="Times New Roman" w:eastAsia="Calibri" w:hAnsi="Times New Roman" w:cs="Times New Roman"/>
          <w:i/>
          <w:sz w:val="24"/>
          <w:szCs w:val="24"/>
        </w:rPr>
        <w:t>тчетные показатели результативности и</w:t>
      </w:r>
    </w:p>
    <w:p w:rsidR="0080553F" w:rsidRDefault="00186B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эффективности Программы профилактики за 2024 год </w:t>
      </w:r>
    </w:p>
    <w:p w:rsidR="0080553F" w:rsidRDefault="00186B3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(за 9 месяцев текущего года)</w:t>
      </w:r>
    </w:p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577"/>
        <w:gridCol w:w="4925"/>
        <w:gridCol w:w="2272"/>
        <w:gridCol w:w="1973"/>
      </w:tblGrid>
      <w:tr w:rsidR="0080553F">
        <w:tc>
          <w:tcPr>
            <w:tcW w:w="577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24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2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973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значения показателя</w:t>
            </w:r>
          </w:p>
        </w:tc>
      </w:tr>
      <w:tr w:rsidR="0080553F">
        <w:tc>
          <w:tcPr>
            <w:tcW w:w="577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72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973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80553F">
        <w:tc>
          <w:tcPr>
            <w:tcW w:w="577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272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973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80553F">
        <w:tc>
          <w:tcPr>
            <w:tcW w:w="577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4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Удовлетворенность контролируемых лиц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консультированием контрольного (надзорного) органа</w:t>
            </w:r>
          </w:p>
        </w:tc>
        <w:tc>
          <w:tcPr>
            <w:tcW w:w="2272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100% от числа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обратившихся</w:t>
            </w:r>
            <w:proofErr w:type="gramEnd"/>
          </w:p>
        </w:tc>
        <w:tc>
          <w:tcPr>
            <w:tcW w:w="1973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80553F">
        <w:tc>
          <w:tcPr>
            <w:tcW w:w="577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24" w:type="dxa"/>
          </w:tcPr>
          <w:p w:rsidR="0080553F" w:rsidRDefault="00186B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72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мероприятия</w:t>
            </w:r>
          </w:p>
        </w:tc>
        <w:tc>
          <w:tcPr>
            <w:tcW w:w="1973" w:type="dxa"/>
          </w:tcPr>
          <w:p w:rsidR="0080553F" w:rsidRDefault="00186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80553F" w:rsidRDefault="00805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tabs>
          <w:tab w:val="left" w:pos="2977"/>
        </w:tabs>
        <w:ind w:firstLine="567"/>
        <w:jc w:val="center"/>
        <w:rPr>
          <w:rFonts w:eastAsia="Calibri"/>
          <w:sz w:val="28"/>
          <w:szCs w:val="28"/>
        </w:rPr>
      </w:pPr>
    </w:p>
    <w:p w:rsidR="0080553F" w:rsidRDefault="00186B34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Показатели результативности Программы профилактики на 2025 г. определяются в соответствии со следующей таблицей:</w:t>
      </w:r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3F" w:rsidRDefault="008055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093"/>
        <w:gridCol w:w="3120"/>
      </w:tblGrid>
      <w:tr w:rsidR="008055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055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8055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5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случаев объявления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общем количестве случаев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имелись случаи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55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0553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жилищного  контроля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3F" w:rsidRDefault="00186B3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80553F" w:rsidRDefault="0080553F">
      <w:pPr>
        <w:jc w:val="both"/>
        <w:rPr>
          <w:rFonts w:eastAsia="Calibri"/>
          <w:sz w:val="28"/>
          <w:szCs w:val="28"/>
        </w:rPr>
      </w:pPr>
    </w:p>
    <w:p w:rsidR="004465C5" w:rsidRDefault="00186B34" w:rsidP="004465C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  <w:sectPr w:rsidR="004465C5">
          <w:pgSz w:w="11906" w:h="16838"/>
          <w:pgMar w:top="851" w:right="567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программой профилактических мероприятий при осуществлении муниципального лесного контроля в границах Новозыбковского городского округа на 2025 год. </w:t>
      </w:r>
    </w:p>
    <w:p w:rsidR="004465C5" w:rsidRPr="004465C5" w:rsidRDefault="004465C5" w:rsidP="004465C5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</w:pPr>
      <w:r w:rsidRPr="004465C5">
        <w:rPr>
          <w:rFonts w:ascii="Arial" w:eastAsia="Times New Roman" w:hAnsi="Arial" w:cs="Arial"/>
          <w:sz w:val="20"/>
          <w:szCs w:val="20"/>
          <w:lang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5pt;margin-top:-2.85pt;width:209.1pt;height:91.7pt;z-index:251659264;mso-wrap-distance-right:0;mso-position-horizontal:right;mso-position-horizontal-relative:page" o:allowincell="f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183"/>
                  </w:tblGrid>
                  <w:tr w:rsidR="004465C5">
                    <w:trPr>
                      <w:trHeight w:val="1571"/>
                    </w:trPr>
                    <w:tc>
                      <w:tcPr>
                        <w:tcW w:w="4183" w:type="dxa"/>
                        <w:shd w:val="clear" w:color="auto" w:fill="auto"/>
                      </w:tcPr>
                      <w:p w:rsidR="004465C5" w:rsidRDefault="004465C5">
                        <w:pPr>
                          <w:widowControl w:val="0"/>
                          <w:autoSpaceDE w:val="0"/>
                          <w:textAlignment w:val="baseline"/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  <w:t>Приложение №2</w:t>
                        </w:r>
                      </w:p>
                      <w:p w:rsidR="004465C5" w:rsidRDefault="004465C5">
                        <w:pPr>
                          <w:widowControl w:val="0"/>
                          <w:autoSpaceDE w:val="0"/>
                          <w:textAlignment w:val="baseline"/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  <w:t>к постановлению</w:t>
                        </w:r>
                      </w:p>
                      <w:p w:rsidR="004465C5" w:rsidRDefault="004465C5">
                        <w:pPr>
                          <w:widowControl w:val="0"/>
                          <w:autoSpaceDE w:val="0"/>
                          <w:ind w:left="-24"/>
                          <w:textAlignment w:val="baseline"/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  <w:t>Новозыбковской городской администрации</w:t>
                        </w:r>
                      </w:p>
                      <w:p w:rsidR="004465C5" w:rsidRDefault="004465C5">
                        <w:pPr>
                          <w:autoSpaceDE w:val="0"/>
                        </w:pPr>
                        <w:r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  <w:t xml:space="preserve">от </w:t>
                        </w:r>
                        <w:r>
                          <w:rPr>
                            <w:sz w:val="28"/>
                            <w:szCs w:val="28"/>
                          </w:rPr>
                          <w:t>__.__.2023</w:t>
                        </w:r>
                        <w:r>
                          <w:rPr>
                            <w:rFonts w:eastAsia="Lucida Sans Unicode"/>
                            <w:kern w:val="2"/>
                            <w:sz w:val="28"/>
                            <w:szCs w:val="28"/>
                            <w:lang w:eastAsia="ar-SA"/>
                          </w:rPr>
                          <w:t xml:space="preserve"> года №</w:t>
                        </w:r>
                      </w:p>
                    </w:tc>
                  </w:tr>
                </w:tbl>
                <w:p w:rsidR="004465C5" w:rsidRDefault="004465C5" w:rsidP="004465C5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4465C5" w:rsidRPr="004465C5" w:rsidRDefault="004465C5" w:rsidP="00446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zh-CN"/>
        </w:rPr>
      </w:pPr>
    </w:p>
    <w:p w:rsidR="004465C5" w:rsidRPr="004465C5" w:rsidRDefault="004465C5" w:rsidP="00446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465C5" w:rsidRPr="004465C5" w:rsidRDefault="004465C5" w:rsidP="0044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465C5" w:rsidRPr="004465C5" w:rsidRDefault="004465C5" w:rsidP="0044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5C5" w:rsidRPr="004465C5" w:rsidRDefault="004465C5" w:rsidP="004465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465C5" w:rsidRPr="004465C5" w:rsidRDefault="004465C5" w:rsidP="0044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465C5" w:rsidRPr="004465C5" w:rsidRDefault="004465C5" w:rsidP="004465C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  <w:r w:rsidRPr="004465C5"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  <w:t>Перечень контролируемых лиц для проведения</w:t>
      </w:r>
    </w:p>
    <w:p w:rsidR="004465C5" w:rsidRPr="004465C5" w:rsidRDefault="004465C5" w:rsidP="004465C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  <w:r w:rsidRPr="004465C5"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  <w:t xml:space="preserve">профилактических визитов в 2025 году при осуществлении муниципального лесного контроля </w:t>
      </w:r>
    </w:p>
    <w:p w:rsidR="004465C5" w:rsidRPr="004465C5" w:rsidRDefault="004465C5" w:rsidP="004465C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  <w:r w:rsidRPr="004465C5"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  <w:t>в границах Новозыбковского городского округа Брянской области</w:t>
      </w:r>
    </w:p>
    <w:p w:rsidR="004465C5" w:rsidRPr="004465C5" w:rsidRDefault="004465C5" w:rsidP="004465C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</w:p>
    <w:p w:rsidR="004465C5" w:rsidRPr="004465C5" w:rsidRDefault="004465C5" w:rsidP="004465C5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32"/>
          <w:szCs w:val="28"/>
          <w:lang w:eastAsia="ar-SA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762"/>
        <w:gridCol w:w="2890"/>
        <w:gridCol w:w="2493"/>
        <w:gridCol w:w="1760"/>
        <w:gridCol w:w="2551"/>
        <w:gridCol w:w="1433"/>
        <w:gridCol w:w="1861"/>
        <w:gridCol w:w="1526"/>
      </w:tblGrid>
      <w:tr w:rsidR="004465C5" w:rsidRPr="004465C5" w:rsidTr="004465C5">
        <w:trPr>
          <w:trHeight w:val="2022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gramEnd"/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Объект контроля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ИНН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Основание для проведения</w:t>
            </w:r>
          </w:p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(Статьи 8-9, п.3, ч.2 стати 44, ч. 6 стати 44, ч.5 статьи 49  Федерального закона 248-ФЗ ч. 10-11 ст. 52, ч. 4 ст. 52, указать </w:t>
            </w:r>
            <w:proofErr w:type="gramStart"/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нужное</w:t>
            </w:r>
            <w:proofErr w:type="gramEnd"/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Категория риска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Период проведения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tabs>
                <w:tab w:val="left" w:pos="127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Ответственный исполнитель</w:t>
            </w:r>
          </w:p>
        </w:tc>
      </w:tr>
      <w:tr w:rsidR="004465C5" w:rsidRPr="004465C5" w:rsidTr="004465C5">
        <w:trPr>
          <w:trHeight w:val="926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МКП « Благоустройство»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243020, Брянская область, г. Новозыбков, ул. Вокзальная, д. 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3204005683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Статьи 8-9, п.3, ч.2 стати 44, ч. 6 стати 44, ч.5 статьи 49  Федерального закона 248-ФЗ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низкая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полугодие 2025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Специалист отдела строительства, ЖКХ и тарифно-ценовой политики Новозыбковской городской </w:t>
            </w: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администрации</w:t>
            </w:r>
          </w:p>
        </w:tc>
      </w:tr>
      <w:tr w:rsidR="004465C5" w:rsidRPr="004465C5" w:rsidTr="004465C5">
        <w:trPr>
          <w:trHeight w:val="940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65C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5C5" w:rsidRPr="004465C5" w:rsidRDefault="004465C5" w:rsidP="004465C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4465C5" w:rsidRPr="004465C5" w:rsidRDefault="004465C5" w:rsidP="004465C5">
      <w:pPr>
        <w:tabs>
          <w:tab w:val="left" w:pos="6885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65C5" w:rsidRPr="004465C5" w:rsidRDefault="004465C5" w:rsidP="00446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</w:p>
    <w:p w:rsidR="004465C5" w:rsidRPr="004465C5" w:rsidRDefault="004465C5" w:rsidP="00446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553F" w:rsidRPr="004465C5" w:rsidRDefault="0080553F" w:rsidP="004465C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3F" w:rsidRDefault="00805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553F" w:rsidSect="004465C5">
      <w:pgSz w:w="16838" w:h="11906" w:orient="landscape"/>
      <w:pgMar w:top="1701" w:right="851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307"/>
    <w:multiLevelType w:val="multilevel"/>
    <w:tmpl w:val="9B967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044D3D"/>
    <w:multiLevelType w:val="multilevel"/>
    <w:tmpl w:val="C2F4A8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0553F"/>
    <w:rsid w:val="00186B34"/>
    <w:rsid w:val="004465C5"/>
    <w:rsid w:val="0080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3.09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7880-7E87-481F-A236-C50D64C3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15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</cp:lastModifiedBy>
  <cp:revision>46</cp:revision>
  <cp:lastPrinted>2024-12-18T08:15:00Z</cp:lastPrinted>
  <dcterms:created xsi:type="dcterms:W3CDTF">2024-12-18T08:11:00Z</dcterms:created>
  <dcterms:modified xsi:type="dcterms:W3CDTF">2024-12-19T11:30:00Z</dcterms:modified>
  <dc:language>ru-RU</dc:language>
</cp:coreProperties>
</file>