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1D" w:rsidRDefault="00A0251D" w:rsidP="00A025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800100"/>
            <wp:effectExtent l="0" t="0" r="9525" b="0"/>
            <wp:docPr id="2" name="Рисунок 2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51D" w:rsidRPr="00A0251D" w:rsidRDefault="00A0251D" w:rsidP="00A025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51D">
        <w:rPr>
          <w:rFonts w:ascii="Times New Roman" w:hAnsi="Times New Roman" w:cs="Times New Roman"/>
          <w:b/>
          <w:sz w:val="32"/>
          <w:szCs w:val="32"/>
        </w:rPr>
        <w:t xml:space="preserve">НОВОЗЫБКОВСКАЯ  ГОРОДСКАЯ  АДМИНИСТРАЦИЯ </w:t>
      </w:r>
    </w:p>
    <w:p w:rsidR="0084221D" w:rsidRPr="00A0251D" w:rsidRDefault="0084221D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84221D" w:rsidRPr="00A0251D" w:rsidRDefault="00A0251D" w:rsidP="00A0251D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A0251D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84221D" w:rsidRDefault="0084221D">
      <w:pPr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_Копия_1"/>
      <w:bookmarkEnd w:id="0"/>
    </w:p>
    <w:p w:rsidR="0084221D" w:rsidRDefault="00913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17.12.2024  №1067</w:t>
      </w: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21D" w:rsidRDefault="006D4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Программы                                                                  профилактики рисков причинения                                                                                вреда (ущерба) охраняемым  законом                                                                         ценностям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21D" w:rsidRDefault="006D432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контролю   </w:t>
      </w:r>
      <w:r>
        <w:rPr>
          <w:rFonts w:ascii="Times New Roman" w:hAnsi="Times New Roman" w:cs="Times New Roman"/>
          <w:sz w:val="28"/>
          <w:szCs w:val="24"/>
        </w:rPr>
        <w:t>на    автомобильном                                                                     транспорте,</w:t>
      </w:r>
      <w: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городском наземном                                                              электрическом транспорте  и 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дорожном     </w:t>
      </w:r>
      <w:proofErr w:type="gramStart"/>
      <w:r>
        <w:rPr>
          <w:rFonts w:ascii="Times New Roman" w:hAnsi="Times New Roman" w:cs="Times New Roman"/>
          <w:sz w:val="28"/>
          <w:szCs w:val="24"/>
        </w:rPr>
        <w:t>хозяйстве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в границах                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Новозыбковского городского округа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   Брянской области на </w:t>
      </w:r>
      <w:r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84221D" w:rsidRDefault="008422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4221D" w:rsidRDefault="0084221D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6D432B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«Новозыбковский городской округ Брянской области» </w:t>
      </w:r>
      <w:proofErr w:type="gramEnd"/>
    </w:p>
    <w:p w:rsidR="0084221D" w:rsidRDefault="0084221D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Новозыбковского городского округа Брянской области на 2025 год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№1 к данному постановлению.</w:t>
      </w:r>
    </w:p>
    <w:p w:rsidR="0084221D" w:rsidRDefault="006D43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 Установить, что Перечень контролируемых лиц,  в отношении которых проводятся профилактические визиты в 2025 году, определяется приложением № 2 к настоящему постановлению.  Перечень подлежит дополнению по мере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поступления заявлений от контролируемых лиц о проведении в отношении них профилактических визитов, а также обновлению и размещению на официальном сайте Новозыбковской городской администрации в информационно-телекоммуникационной сети «Интернет».</w:t>
      </w:r>
    </w:p>
    <w:p w:rsidR="0084221D" w:rsidRDefault="006D43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Опубликовать настоящее постановление на официальном сайте Новозыбковской городской администрации.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  Настоящее постановление вступает в силу с 01.01.2025 года.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Рожкова А.Л.</w:t>
      </w: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Ио главы Новозыбковской                                                                  </w:t>
      </w:r>
    </w:p>
    <w:p w:rsidR="0084221D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В.Г.Шевелев</w:t>
      </w:r>
      <w:proofErr w:type="spellEnd"/>
    </w:p>
    <w:p w:rsidR="0084221D" w:rsidRDefault="0084221D">
      <w:pPr>
        <w:widowControl w:val="0"/>
        <w:spacing w:after="0" w:line="240" w:lineRule="auto"/>
        <w:ind w:right="-26"/>
        <w:rPr>
          <w:rFonts w:ascii="Times New Roman" w:eastAsia="Times New Roman" w:hAnsi="Times New Roman" w:cs="Times New Roman"/>
          <w:sz w:val="28"/>
          <w:szCs w:val="28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D432B" w:rsidRDefault="006D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13ACC" w:rsidRDefault="0091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13ACC" w:rsidRDefault="0091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13ACC" w:rsidRDefault="0091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1" w:name="_GoBack"/>
      <w:bookmarkEnd w:id="1"/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6D4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84221D" w:rsidRDefault="006D4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84221D" w:rsidRDefault="006D4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84221D" w:rsidRDefault="006D432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</w:p>
    <w:p w:rsidR="0084221D" w:rsidRDefault="0084221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84221D" w:rsidRDefault="0084221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21D" w:rsidRDefault="006D4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Новозыбковского городского округа Брянской области на 2025 год</w:t>
      </w:r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21D" w:rsidRDefault="006D4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6D432B">
      <w:pPr>
        <w:pStyle w:val="af0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Анализ текущего состояния осуществления вида контроля.</w:t>
      </w:r>
    </w:p>
    <w:p w:rsidR="0084221D" w:rsidRDefault="0084221D">
      <w:pPr>
        <w:pStyle w:val="af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Новозыбковского городского округа.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юридическими лицами, индивидуальными предпринимателями и гражданами обязательных требований: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в области автомобильных дорог и дорожной деятельности, установленных в отношении автомобильных дорог местного значения Новозыбковского городского округа: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эксплуатации дорожного сервиса, размещенных в полосах отвода и (или) придорожных полосах автомобильных дорог общего пользования;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Новозыбковского городского округа Брянской области осуществляется отделом строительства, ЖКХ и тарифно-ценовой политики, отделом экономического развития Новозыбковской городской администрации.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Главной задачей контрольного органа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Новозыбковского городского округа Брянской области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Новозыбковской городской администрацией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Новозыбковского городского округа Брянской области плановые и внеплановые проверки не проводились.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Административные протоколы в отношении субъектов контроля, нарушивших законодательство автомобильной и дорожной сфере,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Описание текущего развития профилактической деятельности контрольного органа.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в контрольный орган не поступали сведения о нарушении обязательных требований, установленных автомобильным и дорожным законодательством. 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лицам в 2024 (за 9 месяцев текущего года) предостережения о недопустимости нарушения обязательных требований не объявлялись.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 проблемам, на решение которых направлена Программа профилактики, относится: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необходимого уровня знаний требований законодательства,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целью решения данных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администрация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субъектов к добросовестному поведению и сознательному соблюдению обязательных требований.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При осуществлении администрацией муниципального контроля на автомобильном транспорте, городском наземном электрическом транспорте и в дорожном хозяйстве в границах Новозыбковского городского округа могут проводиться следующие виды профилактических мероприятий: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объявление предостережений;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-консультирование;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-профилактический визит.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информационно-¬телекоммуникационной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иных формах на бумажном носителе в виде листов информирования и информационных листовок.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тексты нормативных правовых актов, регулирующих осуществление муниципального контроля;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5) перечень индикаторов риска нарушения обязательных требований;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6) программу профилактики рисков причинения вреда;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7) исчерпывающий перечень сведений, которые могут запрашиваться контрольным органом у контролируемого лица;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8) сведения о способах получения консультаций по вопросам соблюдения обязательных требований;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9) доклады, содержащие результаты обобщения правоприменительной практики контрольного органа;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10) доклады о муниципальном контроле; </w:t>
      </w:r>
    </w:p>
    <w:p w:rsidR="0084221D" w:rsidRDefault="006D432B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также вправе информировать население Новозыбковского городского округа Брянской области на собраниях и конференциях граждан об обязательных требованиях, предъявляемых к объектам контроля. А также иным способом.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законом ценностям. Предостережения объявляются (подписываются) главой (заместителем главы) Новозыбковской городской администрации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 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3.1.3. 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Личный прием граждан проводится главой (заместителем главы) Новозыбковской городской администрации  Брянской области и (или) должностным лицом, уполномоченным осуществлять муниципальный контроль. Информация о месте приема, а также об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и осуществление муниципального контроля на автомобильном транспорте, городском наземном транспорте и в дорожном хозяйстве в границах Новозыбковского городского округа Брянской области;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осуществления контрольных мероприятий, установленных настоящим Постановлением;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обжалования действий (бездействия) должностных лиц, уполномоченных осуществлять муниципальный контроль;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контроль, в следующих случаях: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 время консультирования предоставить в устной форме ответ на поставленные вопросы невозможно;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ответ на поставленные вопросы требует дополнительного запроса сведений.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Должностными лицами, уполномоченными осуществлять муниципальный контроль, ведется журнал учета консультирований.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Новозыбковской городской администрации Брянской области или должностным лицом, уполномоченным осуществлять муниципальный контроль.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3.1.4.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ходе профилактического визита инспектором может осуществляться консультирование контролируемого лица в порядке, установленном статьей 50 настоящего Федерального закона.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пять рабочих дней до даты его проведения.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три рабочих дня до даты его проведения.</w:t>
      </w: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и сроки проведения обязательного профилактического визита устанавливаются положением о виде контроля. 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21D" w:rsidRDefault="006D43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Перечень профилактических мероприятий, сроки (периодичность) их проведения представлены в таблице: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8"/>
        <w:gridCol w:w="1591"/>
        <w:gridCol w:w="4537"/>
        <w:gridCol w:w="2271"/>
        <w:gridCol w:w="850"/>
      </w:tblGrid>
      <w:tr w:rsidR="0084221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 п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84221D">
        <w:trPr>
          <w:trHeight w:val="20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Размещение и поддержание контрольным органом в актуальном состоянии на своем официальном интернет сайте Администрации информации в соответствии с п. 3.1.1 настоящей программы профилактики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месяц</w:t>
            </w:r>
          </w:p>
        </w:tc>
      </w:tr>
      <w:tr w:rsidR="0084221D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Размещение контрольным органом информации соответствии с п. 3.1.1 настоящей программы профилактики в средствах массовой информации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 менее 1 раза в год, далее по мере необходимости</w:t>
            </w:r>
          </w:p>
        </w:tc>
      </w:tr>
      <w:tr w:rsidR="0084221D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Осуществление рассылки тематических (сезонных) листов информирования и (или) информационных листовок на бумажных носителях, содержащих </w:t>
            </w:r>
            <w:hyperlink r:id="rId8">
              <w:r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84221D">
        <w:trPr>
          <w:trHeight w:val="32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Осуществление консультирования в устной форме контролируемых лиц и (или) их представителей по телефону, посредством видео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–связи, на личном приеме, либо в ходе проведения профилактических мероприятий, контрольных мероприятий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обращения контролируемых лиц, а также в ходе проведения других профилактических мероприятий</w:t>
            </w:r>
          </w:p>
        </w:tc>
      </w:tr>
      <w:tr w:rsidR="0084221D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Осуществление консультирования в письменной форме при поступлении письменного обращения от контролируемых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(или) их представителей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поступления обращений от контролируемых лиц</w:t>
            </w:r>
          </w:p>
        </w:tc>
      </w:tr>
      <w:tr w:rsidR="0084221D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 Размещения контрольным органом на официальном интернет - сайте Администрации письменного разъяснения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10 дней после поступления 5 и более однотипных обращений контролируемых лиц</w:t>
            </w:r>
          </w:p>
        </w:tc>
      </w:tr>
      <w:tr w:rsidR="0084221D">
        <w:trPr>
          <w:trHeight w:val="23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2"/>
              <w:widowControl w:val="0"/>
              <w:shd w:val="clear" w:color="auto" w:fill="FFFFFF"/>
              <w:spacing w:after="0"/>
            </w:pPr>
            <w:r>
              <w:t xml:space="preserve">1) Осуществление профилактического визита в отношении контролируемого лица </w:t>
            </w:r>
            <w:proofErr w:type="gramStart"/>
            <w:r>
              <w:t>в следствие</w:t>
            </w:r>
            <w:proofErr w:type="gramEnd"/>
            <w:r>
              <w:t xml:space="preserve">  анализа объявленных данному контролируемому лицу предостережений о недопустимости нарушения обязательных требований в предшествующем 2023 году, определенных приложением № 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4221D">
        <w:trPr>
          <w:trHeight w:val="49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2"/>
              <w:widowControl w:val="0"/>
              <w:shd w:val="clear" w:color="auto" w:fill="FFFFFF"/>
              <w:spacing w:after="280"/>
            </w:pPr>
            <w:r>
              <w:t>2) Осуществление профилактического визита в отношении контролируемых лиц, определенных приложением № 2</w:t>
            </w:r>
          </w:p>
          <w:p w:rsidR="0084221D" w:rsidRDefault="0084221D">
            <w:pPr>
              <w:pStyle w:val="af2"/>
              <w:widowControl w:val="0"/>
              <w:shd w:val="clear" w:color="auto" w:fill="FFFFFF"/>
              <w:spacing w:before="280" w:after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экономического развития Новозыбковской городской администрации</w:t>
            </w:r>
          </w:p>
          <w:p w:rsidR="0084221D" w:rsidRDefault="008422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21D">
        <w:trPr>
          <w:trHeight w:val="183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4) Осуществление профилактического визита по заявлению контролируемого лица о проведении в отношении него профилактического визита.</w:t>
            </w:r>
            <w:r>
              <w:rPr>
                <w:color w:val="FF0000"/>
              </w:rPr>
              <w:t xml:space="preserve"> </w:t>
            </w:r>
            <w:r>
              <w:t>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84221D" w:rsidRDefault="006D432B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мере поступления заявлений</w:t>
            </w:r>
          </w:p>
        </w:tc>
      </w:tr>
      <w:tr w:rsidR="0084221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4221D" w:rsidRDefault="0084221D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4221D" w:rsidRDefault="006D432B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и предлагает принять меры по обеспечению соблюдения обязательных требований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 специалист отдела экономического развития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84221D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221D" w:rsidRDefault="006D432B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мере поступления информации</w:t>
            </w:r>
          </w:p>
        </w:tc>
      </w:tr>
    </w:tbl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4221D" w:rsidRDefault="006D4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21D" w:rsidRDefault="006D432B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1. Отчетные показатели профилактических мероприятий</w:t>
      </w:r>
    </w:p>
    <w:p w:rsidR="0084221D" w:rsidRDefault="006D432B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2024 год (за 9 месяцев текущего года)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0"/>
        <w:gridCol w:w="2765"/>
        <w:gridCol w:w="6507"/>
      </w:tblGrid>
      <w:tr w:rsidR="0084221D">
        <w:tc>
          <w:tcPr>
            <w:tcW w:w="480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5" w:type="dxa"/>
          </w:tcPr>
          <w:p w:rsidR="0084221D" w:rsidRDefault="006D432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84221D" w:rsidRDefault="006D432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</w:p>
          <w:p w:rsidR="0084221D" w:rsidRDefault="006D432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профилактического</w:t>
            </w:r>
          </w:p>
          <w:p w:rsidR="0084221D" w:rsidRDefault="006D432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84221D">
        <w:trPr>
          <w:trHeight w:val="1486"/>
        </w:trPr>
        <w:tc>
          <w:tcPr>
            <w:tcW w:w="480" w:type="dxa"/>
            <w:vMerge w:val="restart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5" w:type="dxa"/>
            <w:vMerge w:val="restart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Новозыбковской городской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</w:t>
            </w:r>
          </w:p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телекоммуникационной сети Интернет (далее – сеть «Интернет») размещены сведения,</w:t>
            </w:r>
          </w:p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предусмотренные Программой профилактики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2024 год</w:t>
            </w:r>
          </w:p>
        </w:tc>
      </w:tr>
      <w:tr w:rsidR="0084221D">
        <w:trPr>
          <w:trHeight w:val="1242"/>
        </w:trPr>
        <w:tc>
          <w:tcPr>
            <w:tcW w:w="480" w:type="dxa"/>
            <w:vMerge/>
          </w:tcPr>
          <w:p w:rsidR="0084221D" w:rsidRDefault="008422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84221D" w:rsidRDefault="008422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сети «Интернет» размещена информация, предусмотренная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84221D" w:rsidRDefault="008422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>
        <w:trPr>
          <w:trHeight w:val="1262"/>
        </w:trPr>
        <w:tc>
          <w:tcPr>
            <w:tcW w:w="480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Осуществлено 0 консультирований, в том числе:</w:t>
            </w:r>
          </w:p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телефону 0 консультирований;</w:t>
            </w:r>
          </w:p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использованием видео-конференц-связи 0 консультирований;</w:t>
            </w:r>
          </w:p>
          <w:p w:rsidR="0084221D" w:rsidRDefault="008422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1D">
        <w:trPr>
          <w:trHeight w:val="1262"/>
        </w:trPr>
        <w:tc>
          <w:tcPr>
            <w:tcW w:w="480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профилактических визитов</w:t>
            </w:r>
          </w:p>
        </w:tc>
      </w:tr>
      <w:tr w:rsidR="0084221D">
        <w:trPr>
          <w:trHeight w:val="109"/>
        </w:trPr>
        <w:tc>
          <w:tcPr>
            <w:tcW w:w="480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507" w:type="dxa"/>
          </w:tcPr>
          <w:p w:rsidR="0084221D" w:rsidRDefault="006D4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Объявлено 0  предостережений</w:t>
            </w:r>
          </w:p>
          <w:p w:rsidR="0084221D" w:rsidRDefault="008422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21D" w:rsidRDefault="0084221D">
      <w:pPr>
        <w:tabs>
          <w:tab w:val="left" w:pos="2977"/>
        </w:tabs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4221D" w:rsidRDefault="006D432B">
      <w:pPr>
        <w:tabs>
          <w:tab w:val="left" w:pos="2977"/>
        </w:tabs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Таблица 2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eastAsia="Calibri" w:hAnsi="Times New Roman" w:cs="Times New Roman"/>
          <w:i/>
          <w:sz w:val="24"/>
          <w:szCs w:val="24"/>
        </w:rPr>
        <w:t>тчетные показатели результативности и эффективности                       Программы профилактики за 2024 год</w:t>
      </w:r>
    </w:p>
    <w:p w:rsidR="0084221D" w:rsidRDefault="006D43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(за 9 месяцев текущего года)</w:t>
      </w:r>
    </w:p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77"/>
        <w:gridCol w:w="5485"/>
        <w:gridCol w:w="1988"/>
        <w:gridCol w:w="1697"/>
      </w:tblGrid>
      <w:tr w:rsidR="0084221D">
        <w:tc>
          <w:tcPr>
            <w:tcW w:w="577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84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697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значения показателя</w:t>
            </w:r>
          </w:p>
        </w:tc>
      </w:tr>
      <w:tr w:rsidR="0084221D">
        <w:tc>
          <w:tcPr>
            <w:tcW w:w="577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4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8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97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4221D">
        <w:tc>
          <w:tcPr>
            <w:tcW w:w="577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4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с  подтвердившимися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сведениями о готовящихся нарушениях обязательных требований</w:t>
            </w:r>
          </w:p>
        </w:tc>
        <w:tc>
          <w:tcPr>
            <w:tcW w:w="1988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50% и более</w:t>
            </w:r>
          </w:p>
        </w:tc>
        <w:tc>
          <w:tcPr>
            <w:tcW w:w="1697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4221D">
        <w:tc>
          <w:tcPr>
            <w:tcW w:w="577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84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1988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697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4221D">
        <w:tc>
          <w:tcPr>
            <w:tcW w:w="577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4" w:type="dxa"/>
          </w:tcPr>
          <w:p w:rsidR="0084221D" w:rsidRDefault="006D4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8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мероприятия</w:t>
            </w:r>
          </w:p>
        </w:tc>
        <w:tc>
          <w:tcPr>
            <w:tcW w:w="1697" w:type="dxa"/>
          </w:tcPr>
          <w:p w:rsidR="0084221D" w:rsidRDefault="006D4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1000%</w:t>
            </w:r>
          </w:p>
        </w:tc>
      </w:tr>
    </w:tbl>
    <w:p w:rsidR="0084221D" w:rsidRDefault="0084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tabs>
          <w:tab w:val="left" w:pos="2977"/>
        </w:tabs>
        <w:ind w:firstLine="567"/>
        <w:jc w:val="center"/>
        <w:rPr>
          <w:rFonts w:eastAsia="Calibri"/>
          <w:sz w:val="28"/>
          <w:szCs w:val="28"/>
        </w:rPr>
      </w:pPr>
    </w:p>
    <w:p w:rsidR="0084221D" w:rsidRDefault="006D432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Показатели результативности Программы профилактики на 2025 г. определяются в соответствии со следующей таблицей:</w:t>
      </w:r>
    </w:p>
    <w:p w:rsidR="0084221D" w:rsidRDefault="0084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4"/>
        <w:gridCol w:w="3689"/>
      </w:tblGrid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случаев объявления </w:t>
            </w:r>
            <w:proofErr w:type="gramStart"/>
            <w:r>
              <w:rPr>
                <w:sz w:val="24"/>
                <w:szCs w:val="24"/>
              </w:rPr>
              <w:t>предостережений</w:t>
            </w:r>
            <w:proofErr w:type="gramEnd"/>
            <w:r>
              <w:rPr>
                <w:sz w:val="24"/>
                <w:szCs w:val="24"/>
              </w:rPr>
              <w:t xml:space="preserve"> в общем количестве случаев </w:t>
            </w:r>
            <w:r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(если имелись случаи </w:t>
            </w:r>
            <w:r>
              <w:rPr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>
              <w:rPr>
                <w:sz w:val="24"/>
                <w:szCs w:val="24"/>
              </w:rPr>
              <w:t>)</w:t>
            </w:r>
          </w:p>
        </w:tc>
      </w:tr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422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жилищного  контроля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1D" w:rsidRDefault="006D43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84221D" w:rsidRDefault="006D43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Реализация Программы осуществляется путем исполнения организационных и профилактических мероприятий в соответствии с программой профилактических мероприятий при осуществлении муниципального контроля на автомобильном транспорте,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городском наземном электрическом транспорте и в дорожном хозяйстве в границах Новозыбковского городского округа на 2025 год. </w:t>
      </w:r>
    </w:p>
    <w:p w:rsidR="0084221D" w:rsidRDefault="0084221D">
      <w:pPr>
        <w:tabs>
          <w:tab w:val="left" w:pos="68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D4E" w:rsidRDefault="00AF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0D4E" w:rsidRDefault="00AF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0D4E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AF0D4E" w:rsidRPr="00AF0D4E" w:rsidRDefault="00AF0D4E" w:rsidP="00AF0D4E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0" simplePos="0" relativeHeight="251659264" behindDoc="0" locked="0" layoutInCell="0" allowOverlap="1">
                <wp:simplePos x="0" y="0"/>
                <wp:positionH relativeFrom="page">
                  <wp:posOffset>8035925</wp:posOffset>
                </wp:positionH>
                <wp:positionV relativeFrom="paragraph">
                  <wp:posOffset>-44450</wp:posOffset>
                </wp:positionV>
                <wp:extent cx="2654300" cy="995680"/>
                <wp:effectExtent l="1905" t="5080" r="1270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95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183"/>
                            </w:tblGrid>
                            <w:tr w:rsidR="00AF0D4E">
                              <w:trPr>
                                <w:trHeight w:val="1571"/>
                              </w:trPr>
                              <w:tc>
                                <w:tcPr>
                                  <w:tcW w:w="4183" w:type="dxa"/>
                                  <w:shd w:val="clear" w:color="auto" w:fill="auto"/>
                                </w:tcPr>
                                <w:p w:rsidR="00AF0D4E" w:rsidRDefault="00AF0D4E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lang w:eastAsia="ar-SA"/>
                                    </w:rPr>
                                    <w:t>Приложение №2</w:t>
                                  </w:r>
                                </w:p>
                                <w:p w:rsidR="00AF0D4E" w:rsidRDefault="00AF0D4E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lang w:eastAsia="ar-SA"/>
                                    </w:rPr>
                                    <w:t>к постановлению</w:t>
                                  </w:r>
                                </w:p>
                                <w:p w:rsidR="00AF0D4E" w:rsidRDefault="00AF0D4E">
                                  <w:pPr>
                                    <w:widowControl w:val="0"/>
                                    <w:autoSpaceDE w:val="0"/>
                                    <w:ind w:left="-24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lang w:eastAsia="ar-SA"/>
                                    </w:rPr>
                                    <w:t>Новозыбковской городской администрации</w:t>
                                  </w:r>
                                </w:p>
                                <w:p w:rsidR="00AF0D4E" w:rsidRDefault="00AF0D4E">
                                  <w:pPr>
                                    <w:autoSpaceDE w:val="0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0D4E" w:rsidRDefault="00AF0D4E" w:rsidP="00AF0D4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32.75pt;margin-top:-3.5pt;width:209pt;height:78.4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" o:allowincell="f" stroked="f">
                <v:fill opacity="0"/>
                <v:textbox inset=".1pt,.1pt,.1pt,.1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183"/>
                      </w:tblGrid>
                      <w:tr w:rsidR="00AF0D4E">
                        <w:trPr>
                          <w:trHeight w:val="1571"/>
                        </w:trPr>
                        <w:tc>
                          <w:tcPr>
                            <w:tcW w:w="4183" w:type="dxa"/>
                            <w:shd w:val="clear" w:color="auto" w:fill="auto"/>
                          </w:tcPr>
                          <w:p w:rsidR="00AF0D4E" w:rsidRDefault="00AF0D4E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lang w:eastAsia="ar-SA"/>
                              </w:rPr>
                              <w:t>Приложение №2</w:t>
                            </w:r>
                          </w:p>
                          <w:p w:rsidR="00AF0D4E" w:rsidRDefault="00AF0D4E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lang w:eastAsia="ar-SA"/>
                              </w:rPr>
                              <w:t>к постановлению</w:t>
                            </w:r>
                          </w:p>
                          <w:p w:rsidR="00AF0D4E" w:rsidRDefault="00AF0D4E">
                            <w:pPr>
                              <w:widowControl w:val="0"/>
                              <w:autoSpaceDE w:val="0"/>
                              <w:ind w:left="-24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lang w:eastAsia="ar-SA"/>
                              </w:rPr>
                              <w:t>Новозыбковской городской администрации</w:t>
                            </w:r>
                          </w:p>
                          <w:p w:rsidR="00AF0D4E" w:rsidRDefault="00AF0D4E">
                            <w:pPr>
                              <w:autoSpaceDE w:val="0"/>
                              <w:rPr>
                                <w:rFonts w:eastAsia="Lucida Sans Unicode"/>
                                <w:kern w:val="2"/>
                                <w:sz w:val="28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AF0D4E" w:rsidRDefault="00AF0D4E" w:rsidP="00AF0D4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F0D4E" w:rsidRPr="00AF0D4E" w:rsidRDefault="00AF0D4E" w:rsidP="00AF0D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</w:p>
    <w:p w:rsidR="00AF0D4E" w:rsidRPr="00AF0D4E" w:rsidRDefault="00AF0D4E" w:rsidP="00AF0D4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</w:p>
    <w:p w:rsidR="00AF0D4E" w:rsidRPr="00AF0D4E" w:rsidRDefault="00AF0D4E" w:rsidP="00AF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p w:rsidR="00AF0D4E" w:rsidRPr="00AF0D4E" w:rsidRDefault="00AF0D4E" w:rsidP="00AF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0D4E" w:rsidRPr="00AF0D4E" w:rsidRDefault="00AF0D4E" w:rsidP="00AF0D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0D4E" w:rsidRPr="00AF0D4E" w:rsidRDefault="00AF0D4E" w:rsidP="00AF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0D4E" w:rsidRPr="00AF0D4E" w:rsidRDefault="00AF0D4E" w:rsidP="00AF0D4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  <w:r w:rsidRPr="00AF0D4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>Перечень контролируемых лиц для проведения</w:t>
      </w:r>
    </w:p>
    <w:p w:rsidR="00AF0D4E" w:rsidRPr="00AF0D4E" w:rsidRDefault="00AF0D4E" w:rsidP="00AF0D4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  <w:r w:rsidRPr="00AF0D4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>профилактических визитов в 2025 году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Новозыбковского городского округа Брянской области</w:t>
      </w:r>
    </w:p>
    <w:p w:rsidR="00AF0D4E" w:rsidRPr="00AF0D4E" w:rsidRDefault="00AF0D4E" w:rsidP="00AF0D4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</w:p>
    <w:p w:rsidR="00AF0D4E" w:rsidRPr="00AF0D4E" w:rsidRDefault="00AF0D4E" w:rsidP="00AF0D4E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</w:p>
    <w:tbl>
      <w:tblPr>
        <w:tblW w:w="0" w:type="auto"/>
        <w:tblInd w:w="526" w:type="dxa"/>
        <w:tblLayout w:type="fixed"/>
        <w:tblLook w:val="0000" w:firstRow="0" w:lastRow="0" w:firstColumn="0" w:lastColumn="0" w:noHBand="0" w:noVBand="0"/>
      </w:tblPr>
      <w:tblGrid>
        <w:gridCol w:w="560"/>
        <w:gridCol w:w="1857"/>
        <w:gridCol w:w="2694"/>
        <w:gridCol w:w="1842"/>
        <w:gridCol w:w="2694"/>
        <w:gridCol w:w="1275"/>
        <w:gridCol w:w="1560"/>
        <w:gridCol w:w="1984"/>
      </w:tblGrid>
      <w:tr w:rsidR="00AF0D4E" w:rsidRPr="00AF0D4E" w:rsidTr="00A50AC0">
        <w:trPr>
          <w:trHeight w:val="20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Объект контроля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Основание для проведения</w:t>
            </w:r>
          </w:p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(Статьи 8-9, п.3, ч.2 стати 44, ч. 6 стати 44, ч.5 статьи 49  Федерального закона 248-ФЗ ч. 10-11 ст. 52, ч. 4 ст. 52, указать </w:t>
            </w:r>
            <w:proofErr w:type="gramStart"/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нужное</w:t>
            </w:r>
            <w:proofErr w:type="gramEnd"/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Категория риска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Период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Ответственный исполнитель</w:t>
            </w:r>
          </w:p>
        </w:tc>
      </w:tr>
      <w:tr w:rsidR="00AF0D4E" w:rsidRPr="00AF0D4E" w:rsidTr="00A50AC0">
        <w:trPr>
          <w:trHeight w:val="9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AF0D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МКП «Благоустройство»</w:t>
            </w:r>
          </w:p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243020, Брянская область, г. Новозыбков, ул. Вокзальная, д.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3204005683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Статьи 8-9, п.3, ч.2 стати 44, ч. 6 стати 44, ч.5 статьи 49  Федерального закона 248-ФЗ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полугодие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Специалист отдела строительства, ЖКХ и тарифно-ценовой политики Новозыбковской городской администрации</w:t>
            </w:r>
          </w:p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0D4E" w:rsidRPr="00AF0D4E" w:rsidTr="00A50AC0">
        <w:trPr>
          <w:trHeight w:val="9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F0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4E" w:rsidRPr="00AF0D4E" w:rsidRDefault="00AF0D4E" w:rsidP="00AF0D4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F0D4E" w:rsidRPr="00AF0D4E" w:rsidRDefault="00AF0D4E" w:rsidP="00AF0D4E">
      <w:pPr>
        <w:tabs>
          <w:tab w:val="left" w:pos="6885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0D4E" w:rsidRPr="00AF0D4E" w:rsidRDefault="00AF0D4E" w:rsidP="00AF0D4E">
      <w:pPr>
        <w:tabs>
          <w:tab w:val="left" w:pos="6885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0D4E" w:rsidRPr="00AF0D4E" w:rsidRDefault="00AF0D4E" w:rsidP="00AF0D4E">
      <w:pPr>
        <w:tabs>
          <w:tab w:val="left" w:pos="6885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0D4E" w:rsidRPr="00AF0D4E" w:rsidRDefault="00AF0D4E" w:rsidP="00AF0D4E">
      <w:pPr>
        <w:tabs>
          <w:tab w:val="left" w:pos="6885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0D4E" w:rsidRPr="00AF0D4E" w:rsidRDefault="00AF0D4E" w:rsidP="00AF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21D" w:rsidRDefault="0084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21D" w:rsidSect="00AF0D4E">
      <w:pgSz w:w="16838" w:h="11906" w:orient="landscape"/>
      <w:pgMar w:top="1701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B41"/>
    <w:multiLevelType w:val="multilevel"/>
    <w:tmpl w:val="379CCD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>
    <w:nsid w:val="334C3574"/>
    <w:multiLevelType w:val="multilevel"/>
    <w:tmpl w:val="E64A3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1D"/>
    <w:rsid w:val="006D432B"/>
    <w:rsid w:val="0084221D"/>
    <w:rsid w:val="00913ACC"/>
    <w:rsid w:val="00A0251D"/>
    <w:rsid w:val="00A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AF0D4E"/>
    <w:rPr>
      <w:rFonts w:eastAsia="Calibri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AF0D4E"/>
    <w:rPr>
      <w:rFonts w:eastAsia="Calibri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3.09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B4AC-1E2D-4C07-B6DA-69DA4D6B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16</Pages>
  <Words>4499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</cp:lastModifiedBy>
  <cp:revision>50</cp:revision>
  <cp:lastPrinted>2024-12-18T07:35:00Z</cp:lastPrinted>
  <dcterms:created xsi:type="dcterms:W3CDTF">2023-09-20T09:21:00Z</dcterms:created>
  <dcterms:modified xsi:type="dcterms:W3CDTF">2024-12-19T08:31:00Z</dcterms:modified>
  <dc:language>ru-RU</dc:language>
</cp:coreProperties>
</file>