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3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3"/>
        <w:ind w:firstLine="708"/>
        <w:jc w:val="center"/>
        <w:rPr/>
      </w:pPr>
      <w:r>
        <w:rPr>
          <w:b/>
          <w:bCs/>
        </w:rPr>
        <w:t xml:space="preserve">Почти 500 </w:t>
      </w:r>
      <w:r>
        <w:rPr>
          <w:b/>
          <w:bCs/>
        </w:rPr>
        <w:t>человек</w:t>
      </w:r>
      <w:r>
        <w:rPr>
          <w:b/>
          <w:bCs/>
        </w:rPr>
        <w:t xml:space="preserve"> изменили способ управления  своими пенсионными накоплениями  в этом году</w:t>
      </w:r>
    </w:p>
    <w:p>
      <w:pPr>
        <w:pStyle w:val="Normal"/>
        <w:rPr/>
      </w:pPr>
      <w:r>
        <w:rPr/>
      </w:r>
    </w:p>
    <w:p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 первом полугодии </w:t>
      </w:r>
      <w:r>
        <w:rPr>
          <w:sz w:val="28"/>
          <w:szCs w:val="28"/>
          <w:lang w:eastAsia="ru-RU"/>
        </w:rPr>
        <w:t xml:space="preserve"> в Отделение Пенсионного фонда России по Брянской области поступило 497 заявлений по управлению средствами пенсионных накоплений, что  на  230 больше,  чем за аналогичный период 2017-го.  </w:t>
      </w:r>
    </w:p>
    <w:p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Подавляющее большинство (369 человек или более 74% жителей области) перешли из  негосударственных пенсионных фондов в ПФР,                              80 человек выбрали управляющую компанию, 28 - подали заявления                                     о формировании накопительной пенсии через негосударственные пенсионные фонды и 20 - сменили негосударственный пенсионный фонд.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Напоминаем, что страховщиком застрахованных лиц по обязательному пенсионному страхованию может быть Пенсионный фонд России или негосударственный пенсионный фонд, входящий в систему гарантирования прав застрахованных лиц в системе ОПС.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ПФР инвестирует пенсионные накопления через государственную управляющую компанию Внешэкономбанк и частные управляющие компании. Гражданин, формирующий пенсионные накопления в Пенсионном фонде России, может выбрать одну из управляющих компаний для инвестирования пенсионных накоплений.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Смена страховщика происходит только при переходах между Пенсионным фондом России и негосударственным пенсионным фондом,                        а также при переходе из одного НПФ в другой НПФ.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переводе пенсионных накоплений из государственной управляющей компании в частную, а также при выборе другой управляющей компании смены страховщика не происходит – им остается Пенсионный фонд России.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правом на смену страховщика можно ежегодно. При этом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важно помнить: если вы меняете пенсионный фонд чаще, чем раз в пять лет, ваши накопления переводятся в него без учета всего или части инвестиционного дохода,</w:t>
      </w:r>
      <w:r>
        <w:rPr>
          <w:sz w:val="28"/>
          <w:szCs w:val="28"/>
        </w:rPr>
        <w:t xml:space="preserve"> а в случае отрицательного результата инвестирования – возможно уменьшение средств пенсионных накоплений на сумму инвестиционного убытка. </w:t>
      </w:r>
      <w:r>
        <w:rPr>
          <w:color w:val="000000"/>
          <w:sz w:val="28"/>
          <w:szCs w:val="28"/>
        </w:rPr>
        <w:t>Поэтому ПФР рекомендует менять страховщика (пенсионный фонд) не чаще одного раза в пять лет, а при подаче заявления проверяйте его тип – срочный или досрочный перевод, выбирая первое.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существуют только три способа подачи заявления о переводе пенсионных накоплений в управляющую компанию или другой пенсионный фонд. Первый – через клиентскую службу ПФР: заявление можно подать как лично, так и через законного представителя. Второй – через интернет: на портале госуслуг или сайте ПФР. И в том, и в другом случае электронное заявление должно быть подписано усиленной квалифицированной электронной подписью. Наконец – по почте. В этом случае установление личности гражданина и проверку подлинности его подписи осуществляет нотариус.</w:t>
      </w:r>
    </w:p>
    <w:p>
      <w:pPr>
        <w:pStyle w:val="Style10"/>
        <w:ind w:firstLine="708"/>
        <w:rPr>
          <w:sz w:val="28"/>
        </w:rPr>
      </w:pPr>
      <w:r>
        <w:rPr>
          <w:sz w:val="28"/>
        </w:rPr>
        <w:t xml:space="preserve">В соответствии с волеизъявлением гражданина средства будущей накопительной пенсии направляются либо в государственную управляющую компанию - Внешэкономбанк, либо в 33 частные управляющие компании                 или 38 негосударственных пенсионных фондов. При этом есть один нюанс: для того, чтобы средства пенсионных накоплений были переданы в частную управляющую компанию,  необходимо оформить только заявление. А вот если выбран НПФ, то кроме заявления необходимо заключить договор с этим НПФ. </w:t>
      </w:r>
    </w:p>
    <w:p>
      <w:pPr>
        <w:pStyle w:val="BodyText2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При  выборе управляющего ориентироваться надо на итоги управления  за несколько последних лет. Стоит обращать внимание на те компании, которые стабильно показывают результаты доходности не ниже среднего. </w:t>
      </w:r>
    </w:p>
    <w:p>
      <w:pPr>
        <w:pStyle w:val="Normal"/>
        <w:ind w:firstLine="708"/>
        <w:jc w:val="both"/>
        <w:rPr>
          <w:bCs/>
          <w:color w:val="000000"/>
          <w:sz w:val="28"/>
        </w:rPr>
      </w:pPr>
      <w:r>
        <w:rPr>
          <w:sz w:val="28"/>
        </w:rPr>
        <w:t xml:space="preserve">При выборе </w:t>
      </w:r>
      <w:r>
        <w:rPr>
          <w:bCs/>
          <w:color w:val="000000"/>
          <w:sz w:val="28"/>
        </w:rPr>
        <w:t>НПФ,</w:t>
      </w:r>
      <w:r>
        <w:rPr>
          <w:sz w:val="28"/>
        </w:rPr>
        <w:t xml:space="preserve"> помимо доходности, необходимо смотреть                                 на соотношение собственного имущества и обязательств фонда (чем большую часть обязательств покрывает имущество, тем устойчивее фонд), срок работы на рынке, практику выплаты </w:t>
      </w:r>
      <w:r>
        <w:rPr>
          <w:bCs/>
          <w:color w:val="000000"/>
          <w:sz w:val="28"/>
        </w:rPr>
        <w:t>пенсий.</w:t>
      </w:r>
    </w:p>
    <w:p>
      <w:pPr>
        <w:pStyle w:val="BodyText2"/>
        <w:ind w:firstLine="708"/>
        <w:jc w:val="both"/>
        <w:rPr/>
      </w:pPr>
      <w:r>
        <w:rPr>
          <w:b w:val="false"/>
          <w:bCs w:val="false"/>
          <w:szCs w:val="20"/>
        </w:rPr>
        <w:t>Современная пенсионная модель предусматривает активное участие граждан в формировании своей будущей пенсии.</w:t>
      </w:r>
      <w:r>
        <w:rPr>
          <w:szCs w:val="20"/>
        </w:rPr>
        <w:t xml:space="preserve"> </w:t>
      </w:r>
      <w:r>
        <w:rPr>
          <w:b w:val="false"/>
          <w:bCs w:val="false"/>
          <w:szCs w:val="20"/>
        </w:rPr>
        <w:t>Именно поэтому                                к инвестированию средств пенсионных накоплений надо подходить осознанно.  Ведь от того,  как  человек распорядится  накопительной составляющей  своей будущей пенсии, зависит его  пенсионное обеспечение  в старости.</w:t>
      </w:r>
      <w:r>
        <w:rPr/>
        <w:t xml:space="preserve"> </w:t>
      </w:r>
    </w:p>
    <w:p>
      <w:pPr>
        <w:pStyle w:val="Normal"/>
        <w:spacing w:before="60" w:after="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</w:t>
      </w:r>
    </w:p>
    <w:p>
      <w:pPr>
        <w:pStyle w:val="1"/>
        <w:numPr>
          <w:ilvl w:val="0"/>
          <w:numId w:val="0"/>
        </w:numPr>
        <w:tabs>
          <w:tab w:val="left" w:pos="708" w:leader="none"/>
        </w:tabs>
        <w:jc w:val="both"/>
        <w:rPr/>
      </w:pPr>
      <w:r>
        <w:rPr>
          <w:sz w:val="28"/>
        </w:rPr>
        <w:tab/>
      </w:r>
    </w:p>
    <w:p>
      <w:pPr>
        <w:pStyle w:val="Normal"/>
        <w:spacing w:before="60" w:after="60"/>
        <w:ind w:firstLine="567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60" w:right="1106" w:header="567" w:top="2516" w:footer="0" w:bottom="10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>
        <w:lang w:val="ru-RU"/>
      </w:rPr>
    </w:pPr>
    <w:r>
      <w:rPr>
        <w:lang w:val="ru-RU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368871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pt,70.45pt" to="485.75pt,70.45pt" stroked="t" style="position:absolute">
              <v:stroke color="black" weight="12600" joinstyle="miter" endcap="flat"/>
              <v:fill o:detectmouseclick="t" on="false"/>
            </v:line>
          </w:pict>
        </mc:Fallback>
      </mc:AlternateContent>
      <w:drawing>
        <wp:anchor behindDoc="1" distT="0" distB="0" distL="133985" distR="119380" simplePos="0" locked="0" layoutInCell="1" allowOverlap="1" relativeHeight="9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0" t="0" r="0" b="0"/>
          <wp:wrapNone/>
          <wp:docPr id="2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7975" cy="90741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7975" cy="907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ind w:left="432" w:hanging="432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РФ по Брянской области</w:t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ind w:left="432" w:hanging="432"/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</w:rPr>
                            <w:br/>
                          </w:r>
                        </w:p>
                        <w:p>
                          <w:pPr>
                            <w:pStyle w:val="Style1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424.25pt;height:71.45pt;mso-wrap-distance-left:9.05pt;mso-wrap-distance-right:9.05pt;mso-wrap-distance-top:0pt;mso-wrap-distance-bottom:0pt;margin-top:0.45pt;mso-position-vertical-relative:text;margin-left:72.9pt;mso-position-horizontal-relative:text">
              <v:fill opacity="0f"/>
              <v:textbox inset="0in,0in,0in,0in">
                <w:txbxContent>
                  <w:p>
                    <w:pPr>
                      <w:pStyle w:val="1"/>
                      <w:numPr>
                        <w:ilvl w:val="0"/>
                        <w:numId w:val="1"/>
                      </w:numPr>
                      <w:ind w:left="432" w:hanging="432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r>
                  </w:p>
                  <w:p>
                    <w:pPr>
                      <w:pStyle w:val="1"/>
                      <w:numPr>
                        <w:ilvl w:val="0"/>
                        <w:numId w:val="1"/>
                      </w:numPr>
                      <w:ind w:left="432" w:hanging="432"/>
                      <w:jc w:val="center"/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color w:val="0000FF"/>
                        <w:spacing w:val="30"/>
                        <w:w w:val="120"/>
                        <w:sz w:val="24"/>
                      </w:rPr>
                      <w:t>Отделение Пенсионного фонда РФ по Брянской области</w:t>
                    </w:r>
                  </w:p>
                  <w:p>
                    <w:pPr>
                      <w:pStyle w:val="1"/>
                      <w:numPr>
                        <w:ilvl w:val="0"/>
                        <w:numId w:val="1"/>
                      </w:numPr>
                      <w:ind w:left="432" w:hanging="432"/>
                      <w:jc w:val="center"/>
                      <w:rPr>
                        <w:rFonts w:ascii="Arial" w:hAnsi="Arial"/>
                        <w:color w:val="0000FF"/>
                      </w:rPr>
                    </w:pPr>
                    <w:r>
                      <w:rPr>
                        <w:rFonts w:ascii="Arial" w:hAnsi="Arial"/>
                        <w:color w:val="0000FF"/>
                      </w:rPr>
                      <w:br/>
                    </w:r>
                  </w:p>
                  <w:p>
                    <w:pPr>
                      <w:pStyle w:val="Style1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2247900</wp:posOffset>
              </wp:positionH>
              <wp:positionV relativeFrom="paragraph">
                <wp:posOffset>931545</wp:posOffset>
              </wp:positionV>
              <wp:extent cx="2088515" cy="41338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8515" cy="4133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2"/>
                            <w:numPr>
                              <w:ilvl w:val="1"/>
                              <w:numId w:val="1"/>
                            </w:numPr>
                            <w:ind w:left="576" w:hanging="576"/>
                            <w:jc w:val="left"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</w:r>
                        </w:p>
                        <w:p>
                          <w:pPr>
                            <w:pStyle w:val="Style19"/>
                            <w:ind w:left="576" w:hanging="576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               </w:t>
                          </w:r>
                          <w:r>
                            <w:rPr>
                              <w:color w:val="0000FF"/>
                              <w:sz w:val="36"/>
                              <w:szCs w:val="36"/>
                            </w:rPr>
                            <w:t>Пресс-релиз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64.45pt;height:32.55pt;mso-wrap-distance-left:9.05pt;mso-wrap-distance-right:9.05pt;mso-wrap-distance-top:0pt;mso-wrap-distance-bottom:0pt;margin-top:73.35pt;mso-position-vertical-relative:text;margin-left:177pt;mso-position-horizontal-relative:text">
              <v:fill opacity="0f"/>
              <v:textbox inset="0in,0in,0in,0in">
                <w:txbxContent>
                  <w:p>
                    <w:pPr>
                      <w:pStyle w:val="2"/>
                      <w:numPr>
                        <w:ilvl w:val="1"/>
                        <w:numId w:val="1"/>
                      </w:numPr>
                      <w:ind w:left="576" w:hanging="576"/>
                      <w:jc w:val="left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</w:r>
                  </w:p>
                  <w:p>
                    <w:pPr>
                      <w:pStyle w:val="Style19"/>
                      <w:ind w:left="576" w:hanging="576"/>
                      <w:rPr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color w:val="0000FF"/>
                      </w:rPr>
                      <w:t xml:space="preserve">               </w:t>
                    </w:r>
                    <w:r>
                      <w:rPr>
                        <w:color w:val="0000FF"/>
                        <w:sz w:val="36"/>
                        <w:szCs w:val="36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2133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2277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2421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2709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853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997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141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285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pPr>
      <w:keepNext/>
      <w:outlineLvl w:val="0"/>
    </w:pPr>
    <w:rPr>
      <w:b/>
      <w:sz w:val="20"/>
      <w:szCs w:val="20"/>
    </w:rPr>
  </w:style>
  <w:style w:type="paragraph" w:styleId="2">
    <w:name w:val="Заголовок 2"/>
    <w:basedOn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Заголовок 3"/>
    <w:basedOn w:val="Normal"/>
    <w:qFormat/>
    <w:pPr>
      <w:keepNext/>
      <w:outlineLvl w:val="2"/>
    </w:pPr>
    <w:rPr>
      <w:color w:val="000000"/>
      <w:sz w:val="28"/>
      <w:szCs w:val="28"/>
    </w:rPr>
  </w:style>
  <w:style w:type="paragraph" w:styleId="4">
    <w:name w:val="Заголовок 4"/>
    <w:basedOn w:val="Normal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Заголовок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Заголовок 6"/>
    <w:basedOn w:val="Normal"/>
    <w:qFormat/>
    <w:pPr>
      <w:keepNext/>
      <w:jc w:val="center"/>
      <w:outlineLvl w:val="5"/>
    </w:pPr>
    <w:rPr>
      <w:b/>
      <w:sz w:val="26"/>
      <w:szCs w:val="26"/>
    </w:rPr>
  </w:style>
  <w:style w:type="paragraph" w:styleId="7">
    <w:name w:val="Заголовок 7"/>
    <w:basedOn w:val="Normal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Заголовок 8"/>
    <w:basedOn w:val="Normal"/>
    <w:qFormat/>
    <w:pPr>
      <w:keepNext/>
      <w:outlineLvl w:val="7"/>
    </w:pPr>
    <w:rPr>
      <w:b/>
      <w:bCs/>
      <w:sz w:val="28"/>
    </w:rPr>
  </w:style>
  <w:style w:type="character" w:styleId="DefaultParagraphFont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Symbol" w:hAnsi="Symbol"/>
    </w:rPr>
  </w:style>
  <w:style w:type="character" w:styleId="WW8Num3z0" w:customStyle="1">
    <w:name w:val="WW8Num3z0"/>
    <w:qFormat/>
    <w:rPr>
      <w:rFonts w:ascii="Symbol" w:hAnsi="Symbol"/>
      <w:sz w:val="20"/>
    </w:rPr>
  </w:style>
  <w:style w:type="character" w:styleId="WW8Num3z1" w:customStyle="1">
    <w:name w:val="WW8Num3z1"/>
    <w:qFormat/>
    <w:rPr>
      <w:rFonts w:ascii="Courier New" w:hAnsi="Courier New"/>
      <w:sz w:val="20"/>
    </w:rPr>
  </w:style>
  <w:style w:type="character" w:styleId="WW8Num3z2" w:customStyle="1">
    <w:name w:val="WW8Num3z2"/>
    <w:qFormat/>
    <w:rPr>
      <w:rFonts w:ascii="Wingdings" w:hAnsi="Wingdings"/>
      <w:sz w:val="20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Pr>
      <w:color w:val="00000A"/>
    </w:rPr>
  </w:style>
  <w:style w:type="character" w:styleId="WW8Num8z0" w:customStyle="1">
    <w:name w:val="WW8Num8z0"/>
    <w:qFormat/>
    <w:rPr>
      <w:rFonts w:ascii="Symbol" w:hAnsi="Symbol"/>
      <w:color w:val="00000A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8z3" w:customStyle="1">
    <w:name w:val="WW8Num8z3"/>
    <w:qFormat/>
    <w:rPr>
      <w:rFonts w:ascii="Symbol" w:hAnsi="Symbol"/>
    </w:rPr>
  </w:style>
  <w:style w:type="character" w:styleId="WW8Num9z0" w:customStyle="1">
    <w:name w:val="WW8Num9z0"/>
    <w:qFormat/>
    <w:rPr>
      <w:rFonts w:ascii="Wingdings" w:hAnsi="Wingdings"/>
    </w:rPr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9z3" w:customStyle="1">
    <w:name w:val="WW8Num9z3"/>
    <w:qFormat/>
    <w:rPr>
      <w:rFonts w:ascii="Symbol" w:hAnsi="Symbol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qFormat/>
    <w:rPr/>
  </w:style>
  <w:style w:type="character" w:styleId="Style6">
    <w:name w:val="Интернет-ссылка"/>
    <w:basedOn w:val="DefaultParagraphFont"/>
    <w:semiHidden/>
    <w:rPr>
      <w:strike w:val="false"/>
      <w:dstrike w:val="false"/>
      <w:color w:val="001CAC"/>
      <w:u w:val="none"/>
    </w:rPr>
  </w:style>
  <w:style w:type="character" w:styleId="Style7">
    <w:name w:val="Выделение"/>
    <w:basedOn w:val="DefaultParagraphFont"/>
    <w:qFormat/>
    <w:rPr>
      <w:i/>
      <w:iCs/>
    </w:rPr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21" w:customStyle="1">
    <w:name w:val="Источник и дата 2"/>
    <w:basedOn w:val="DefaultParagraphFont"/>
    <w:qFormat/>
    <w:rPr>
      <w:rFonts w:ascii="Arial" w:hAnsi="Arial"/>
      <w:sz w:val="16"/>
      <w:lang w:val="ru-RU" w:eastAsia="ru-RU" w:bidi="ar-SA"/>
    </w:rPr>
  </w:style>
  <w:style w:type="character" w:styleId="Highlight1" w:customStyle="1">
    <w:name w:val="highlight1"/>
    <w:basedOn w:val="DefaultParagraphFont"/>
    <w:qFormat/>
    <w:rPr>
      <w:b/>
      <w:bCs/>
      <w:color w:val="FF0000"/>
    </w:rPr>
  </w:style>
  <w:style w:type="character" w:styleId="Style8" w:customStyle="1">
    <w:name w:val="Основной текст Знак"/>
    <w:basedOn w:val="DefaultParagraphFont"/>
    <w:link w:val="a8"/>
    <w:semiHidden/>
    <w:qFormat/>
    <w:rsid w:val="00341739"/>
    <w:rPr>
      <w:sz w:val="24"/>
      <w:szCs w:val="28"/>
      <w:lang w:eastAsia="ar-SA"/>
    </w:rPr>
  </w:style>
  <w:style w:type="character" w:styleId="22" w:customStyle="1">
    <w:name w:val="Основной текст 2 Знак"/>
    <w:basedOn w:val="DefaultParagraphFont"/>
    <w:link w:val="22"/>
    <w:semiHidden/>
    <w:qFormat/>
    <w:rsid w:val="00341739"/>
    <w:rPr>
      <w:b/>
      <w:bCs/>
      <w:color w:val="000000"/>
      <w:sz w:val="28"/>
      <w:szCs w:val="28"/>
      <w:lang w:eastAsia="ar-SA"/>
    </w:rPr>
  </w:style>
  <w:style w:type="character" w:styleId="31" w:customStyle="1">
    <w:name w:val="Основной текст 3 Знак"/>
    <w:basedOn w:val="DefaultParagraphFont"/>
    <w:link w:val="31"/>
    <w:semiHidden/>
    <w:qFormat/>
    <w:rsid w:val="00341739"/>
    <w:rPr>
      <w:sz w:val="28"/>
      <w:szCs w:val="24"/>
      <w:lang w:eastAsia="ar-SA"/>
    </w:rPr>
  </w:style>
  <w:style w:type="character" w:styleId="ListLabel1">
    <w:name w:val="ListLabel 1"/>
    <w:qFormat/>
    <w:rPr>
      <w:sz w:val="20"/>
    </w:rPr>
  </w:style>
  <w:style w:type="paragraph" w:styleId="Style9" w:customStyle="1">
    <w:name w:val="Заголовок"/>
    <w:basedOn w:val="Normal"/>
    <w:next w:val="Style10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0">
    <w:name w:val="Основной текст"/>
    <w:basedOn w:val="Normal"/>
    <w:link w:val="a9"/>
    <w:semiHidden/>
    <w:pPr>
      <w:jc w:val="both"/>
    </w:pPr>
    <w:rPr>
      <w:szCs w:val="28"/>
    </w:rPr>
  </w:style>
  <w:style w:type="paragraph" w:styleId="Style11">
    <w:name w:val="Список"/>
    <w:basedOn w:val="Style10"/>
    <w:semiHidden/>
    <w:pPr/>
    <w:rPr>
      <w:rFonts w:ascii="Arial" w:hAnsi="Arial" w:cs="Tahoma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Заглавие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Indexheading">
    <w:name w:val="index heading"/>
    <w:basedOn w:val="Normal"/>
    <w:semiHidden/>
    <w:qFormat/>
    <w:pPr>
      <w:suppressLineNumbers/>
    </w:pPr>
    <w:rPr>
      <w:rFonts w:ascii="Arial" w:hAnsi="Arial" w:cs="Tahoma"/>
    </w:rPr>
  </w:style>
  <w:style w:type="paragraph" w:styleId="Style15">
    <w:name w:val="Верхний колонтитул"/>
    <w:basedOn w:val="Normal"/>
    <w:semiHidden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6">
    <w:name w:val="Нижний колонтитул"/>
    <w:basedOn w:val="Normal"/>
    <w:semiHidden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Основной текст с отступом"/>
    <w:basedOn w:val="Normal"/>
    <w:semiHidden/>
    <w:pPr>
      <w:ind w:firstLine="708"/>
      <w:jc w:val="both"/>
    </w:pPr>
    <w:rPr>
      <w:rFonts w:eastAsia="Arial Unicode MS"/>
      <w:szCs w:val="20"/>
    </w:rPr>
  </w:style>
  <w:style w:type="paragraph" w:styleId="NormalWeb">
    <w:name w:val="Normal (Web)"/>
    <w:basedOn w:val="Normal"/>
    <w:uiPriority w:val="99"/>
    <w:semiHidden/>
    <w:qFormat/>
    <w:pPr>
      <w:spacing w:before="280" w:after="280"/>
    </w:pPr>
    <w:rPr>
      <w:rFonts w:ascii="Verdana" w:hAnsi="Verdana"/>
      <w:sz w:val="16"/>
      <w:szCs w:val="16"/>
    </w:rPr>
  </w:style>
  <w:style w:type="paragraph" w:styleId="PlainText">
    <w:name w:val="Plain Text"/>
    <w:basedOn w:val="Normal"/>
    <w:semiHidden/>
    <w:qFormat/>
    <w:pPr/>
    <w:rPr>
      <w:rFonts w:ascii="Courier New" w:hAnsi="Courier New" w:cs="Courier New"/>
      <w:sz w:val="20"/>
      <w:szCs w:val="20"/>
    </w:rPr>
  </w:style>
  <w:style w:type="paragraph" w:styleId="Style18" w:customStyle="1">
    <w:name w:val=" 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Caption">
    <w:name w:val="caption"/>
    <w:basedOn w:val="Normal"/>
    <w:qFormat/>
    <w:pPr/>
    <w:rPr>
      <w:b/>
      <w:bCs/>
      <w:sz w:val="20"/>
      <w:szCs w:val="20"/>
    </w:rPr>
  </w:style>
  <w:style w:type="paragraph" w:styleId="11" w:customStyle="1">
    <w:name w:val="1 Знак"/>
    <w:basedOn w:val="Normal"/>
    <w:qFormat/>
    <w:pPr>
      <w:tabs>
        <w:tab w:val="left" w:pos="12828" w:leader="none"/>
      </w:tabs>
      <w:spacing w:lineRule="exact" w:line="240" w:before="0" w:after="160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CharChar1" w:customStyle="1">
    <w:name w:val=" Char Char1"/>
    <w:basedOn w:val="Normal"/>
    <w:qFormat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2" w:customStyle="1">
    <w:name w:val=" Знак1"/>
    <w:basedOn w:val="Normal"/>
    <w:qFormat/>
    <w:pPr>
      <w:tabs>
        <w:tab w:val="left" w:pos="12828" w:leader="none"/>
      </w:tabs>
      <w:spacing w:lineRule="exact" w:line="240" w:before="0" w:after="160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BodyTextIndent3">
    <w:name w:val="Body Text Indent 3"/>
    <w:basedOn w:val="Normal"/>
    <w:semiHidden/>
    <w:qFormat/>
    <w:pPr>
      <w:ind w:left="720" w:hanging="0"/>
      <w:jc w:val="both"/>
    </w:pPr>
    <w:rPr>
      <w:sz w:val="28"/>
    </w:rPr>
  </w:style>
  <w:style w:type="paragraph" w:styleId="BodyTextIndent2">
    <w:name w:val="Body Text Indent 2"/>
    <w:basedOn w:val="Normal"/>
    <w:semiHidden/>
    <w:qFormat/>
    <w:pPr>
      <w:ind w:firstLine="360"/>
      <w:jc w:val="both"/>
    </w:pPr>
    <w:rPr>
      <w:szCs w:val="28"/>
    </w:rPr>
  </w:style>
  <w:style w:type="paragraph" w:styleId="23" w:customStyle="1">
    <w:name w:val=" Знак2 Знак 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23"/>
    <w:semiHidden/>
    <w:qFormat/>
    <w:pPr>
      <w:jc w:val="center"/>
    </w:pPr>
    <w:rPr>
      <w:b/>
      <w:bCs/>
      <w:color w:val="000000"/>
      <w:sz w:val="28"/>
      <w:szCs w:val="28"/>
    </w:rPr>
  </w:style>
  <w:style w:type="paragraph" w:styleId="Style19" w:customStyle="1">
    <w:name w:val="Содержимое врезки"/>
    <w:basedOn w:val="Style10"/>
    <w:qFormat/>
    <w:pPr/>
    <w:rPr/>
  </w:style>
  <w:style w:type="paragraph" w:styleId="BodyText3">
    <w:name w:val="Body Text 3"/>
    <w:basedOn w:val="Normal"/>
    <w:link w:val="32"/>
    <w:semiHidden/>
    <w:qFormat/>
    <w:pPr>
      <w:jc w:val="both"/>
    </w:pPr>
    <w:rPr>
      <w:sz w:val="28"/>
    </w:rPr>
  </w:style>
  <w:style w:type="paragraph" w:styleId="Footnotetext">
    <w:name w:val="footnote text"/>
    <w:basedOn w:val="Normal"/>
    <w:semiHidden/>
    <w:qFormat/>
    <w:pPr>
      <w:suppressAutoHyphens w:val="false"/>
    </w:pPr>
    <w:rPr>
      <w:sz w:val="20"/>
      <w:szCs w:val="20"/>
      <w:lang w:eastAsia="ru-RU"/>
    </w:rPr>
  </w:style>
  <w:style w:type="paragraph" w:styleId="NoSpacing">
    <w:name w:val="No Spacing"/>
    <w:uiPriority w:val="1"/>
    <w:qFormat/>
    <w:rsid w:val="0082161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Style20" w:customStyle="1">
    <w:name w:val="Знак"/>
    <w:basedOn w:val="Normal"/>
    <w:qFormat/>
    <w:rsid w:val="00341739"/>
    <w:pPr>
      <w:spacing w:lineRule="exact" w:line="240" w:before="0" w:after="160"/>
    </w:pPr>
    <w:rPr>
      <w:rFonts w:ascii="Verdana" w:hAnsi="Verdana"/>
      <w:lang w:val="en-US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Подзаголовок"/>
    <w:basedOn w:val="Style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2018-07-04T10:51:00Z</dcterms:created>
  <dc:creator>Стас Дегтярёв</dc:creator>
  <dc:language>ru-RU</dc:language>
  <cp:lastPrinted>2014-07-03T07:07:00Z</cp:lastPrinted>
  <dcterms:modified xsi:type="dcterms:W3CDTF">2018-07-06T09:11:37Z</dcterms:modified>
  <cp:revision>3</cp:revision>
  <dc:title>ПФР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